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147" w:rsidRPr="006E4147" w:rsidRDefault="006E4147" w:rsidP="006E4147">
      <w:pPr>
        <w:jc w:val="right"/>
        <w:rPr>
          <w:rFonts w:eastAsia="Times New Roman" w:cs="Times New Roman"/>
          <w:i/>
          <w:szCs w:val="28"/>
        </w:rPr>
      </w:pPr>
      <w:r w:rsidRPr="006E4147">
        <w:rPr>
          <w:rFonts w:eastAsia="Times New Roman" w:cs="Times New Roman"/>
          <w:i/>
          <w:szCs w:val="28"/>
        </w:rPr>
        <w:t xml:space="preserve">Проект для громадського обговорення </w:t>
      </w:r>
    </w:p>
    <w:p w:rsidR="00C87355" w:rsidRPr="00A166E8" w:rsidRDefault="00C87355" w:rsidP="004B4A0D">
      <w:pPr>
        <w:jc w:val="center"/>
        <w:rPr>
          <w:rFonts w:eastAsia="Times New Roman" w:cs="Times New Roman"/>
          <w:b/>
          <w:color w:val="1F4E79" w:themeColor="accent1" w:themeShade="80"/>
          <w:sz w:val="32"/>
          <w:szCs w:val="32"/>
        </w:rPr>
      </w:pPr>
      <w:r w:rsidRPr="00A166E8">
        <w:rPr>
          <w:rFonts w:eastAsia="Times New Roman" w:cs="Times New Roman"/>
          <w:b/>
          <w:color w:val="1F4E79" w:themeColor="accent1" w:themeShade="80"/>
          <w:sz w:val="32"/>
          <w:szCs w:val="32"/>
        </w:rPr>
        <w:t>Рекомендації</w:t>
      </w:r>
      <w:bookmarkStart w:id="0" w:name="_GoBack"/>
      <w:bookmarkEnd w:id="0"/>
    </w:p>
    <w:p w:rsidR="003D71ED" w:rsidRDefault="00C87355" w:rsidP="004B4A0D">
      <w:pPr>
        <w:jc w:val="center"/>
        <w:rPr>
          <w:rFonts w:eastAsia="Times New Roman" w:cs="Times New Roman"/>
          <w:b/>
          <w:color w:val="1F4E79" w:themeColor="accent1" w:themeShade="80"/>
          <w:sz w:val="32"/>
          <w:szCs w:val="32"/>
        </w:rPr>
      </w:pPr>
      <w:r w:rsidRPr="00A166E8">
        <w:rPr>
          <w:rFonts w:eastAsia="Times New Roman" w:cs="Times New Roman"/>
          <w:b/>
          <w:color w:val="1F4E79" w:themeColor="accent1" w:themeShade="80"/>
          <w:sz w:val="32"/>
          <w:szCs w:val="32"/>
        </w:rPr>
        <w:t xml:space="preserve">з підготовки нормативно-правового та технічного регулювання у сфері </w:t>
      </w:r>
      <w:r w:rsidRPr="00A166E8">
        <w:rPr>
          <w:rFonts w:eastAsia="Times New Roman" w:cs="Times New Roman"/>
          <w:b/>
          <w:color w:val="1F4E79" w:themeColor="accent1" w:themeShade="80"/>
          <w:sz w:val="32"/>
          <w:szCs w:val="32"/>
        </w:rPr>
        <w:t>5</w:t>
      </w:r>
      <w:r w:rsidRPr="00A166E8">
        <w:rPr>
          <w:rFonts w:eastAsia="Times New Roman" w:cs="Times New Roman"/>
          <w:b/>
          <w:color w:val="1F4E79" w:themeColor="accent1" w:themeShade="80"/>
          <w:sz w:val="32"/>
          <w:szCs w:val="32"/>
          <w:lang w:val="en-US"/>
        </w:rPr>
        <w:t>G</w:t>
      </w:r>
      <w:r w:rsidRPr="00A166E8">
        <w:rPr>
          <w:rFonts w:eastAsia="Times New Roman" w:cs="Times New Roman"/>
          <w:b/>
          <w:color w:val="1F4E79" w:themeColor="accent1" w:themeShade="80"/>
          <w:sz w:val="32"/>
          <w:szCs w:val="32"/>
        </w:rPr>
        <w:t xml:space="preserve"> з урахуванням розвитку законодавства ЄС та провідного світового досвіду</w:t>
      </w:r>
    </w:p>
    <w:p w:rsidR="00A166E8" w:rsidRPr="00A166E8" w:rsidRDefault="00A166E8" w:rsidP="004B4A0D">
      <w:pPr>
        <w:jc w:val="center"/>
        <w:rPr>
          <w:rFonts w:eastAsia="Times New Roman" w:cs="Times New Roman"/>
          <w:b/>
          <w:color w:val="1F4E79" w:themeColor="accent1" w:themeShade="80"/>
          <w:sz w:val="32"/>
          <w:szCs w:val="32"/>
        </w:rPr>
      </w:pPr>
    </w:p>
    <w:p w:rsidR="00C87355" w:rsidRDefault="00C87355" w:rsidP="00C87355">
      <w:pPr>
        <w:ind w:firstLine="851"/>
      </w:pPr>
      <w:r>
        <w:t>П'яте покоління мобільного зв'язку</w:t>
      </w:r>
      <w:r w:rsidRPr="00C87355">
        <w:t xml:space="preserve"> або м</w:t>
      </w:r>
      <w:r>
        <w:t>ер</w:t>
      </w:r>
      <w:r>
        <w:t xml:space="preserve">ежі зв'язку "п'ятого покоління"(далі - </w:t>
      </w:r>
      <w:r>
        <w:t xml:space="preserve"> </w:t>
      </w:r>
      <w:r w:rsidRPr="00A166E8">
        <w:rPr>
          <w:b/>
        </w:rPr>
        <w:t>5G</w:t>
      </w:r>
      <w:r>
        <w:t>)</w:t>
      </w:r>
      <w:r>
        <w:t xml:space="preserve">, разом з </w:t>
      </w:r>
      <w:r w:rsidRPr="00A166E8">
        <w:rPr>
          <w:b/>
        </w:rPr>
        <w:t>хмарними технологіями (</w:t>
      </w:r>
      <w:r w:rsidRPr="00A166E8">
        <w:rPr>
          <w:b/>
          <w:lang w:val="en-US"/>
        </w:rPr>
        <w:t>Cloud</w:t>
      </w:r>
      <w:r w:rsidRPr="00A166E8">
        <w:rPr>
          <w:b/>
        </w:rPr>
        <w:t xml:space="preserve">) </w:t>
      </w:r>
      <w:r w:rsidRPr="00C87355">
        <w:t xml:space="preserve"> </w:t>
      </w:r>
      <w:r>
        <w:t xml:space="preserve">, </w:t>
      </w:r>
      <w:r w:rsidRPr="00A166E8">
        <w:rPr>
          <w:b/>
        </w:rPr>
        <w:t>аналізом великих даних (</w:t>
      </w:r>
      <w:proofErr w:type="spellStart"/>
      <w:r w:rsidRPr="00A166E8">
        <w:rPr>
          <w:b/>
        </w:rPr>
        <w:t>Big</w:t>
      </w:r>
      <w:proofErr w:type="spellEnd"/>
      <w:r w:rsidRPr="00A166E8">
        <w:rPr>
          <w:b/>
        </w:rPr>
        <w:t xml:space="preserve"> </w:t>
      </w:r>
      <w:proofErr w:type="spellStart"/>
      <w:r w:rsidRPr="00A166E8">
        <w:rPr>
          <w:b/>
        </w:rPr>
        <w:t>Data</w:t>
      </w:r>
      <w:proofErr w:type="spellEnd"/>
      <w:r w:rsidRPr="00A166E8">
        <w:rPr>
          <w:b/>
        </w:rPr>
        <w:t>)</w:t>
      </w:r>
      <w:r>
        <w:t xml:space="preserve"> та </w:t>
      </w:r>
      <w:r w:rsidRPr="00A166E8">
        <w:rPr>
          <w:b/>
        </w:rPr>
        <w:t>інтернетом речей (</w:t>
      </w:r>
      <w:proofErr w:type="spellStart"/>
      <w:r w:rsidRPr="00A166E8">
        <w:rPr>
          <w:b/>
        </w:rPr>
        <w:t>IoT</w:t>
      </w:r>
      <w:proofErr w:type="spellEnd"/>
      <w:r w:rsidRPr="00A166E8">
        <w:rPr>
          <w:b/>
        </w:rPr>
        <w:t>)</w:t>
      </w:r>
      <w:r>
        <w:t xml:space="preserve"> є</w:t>
      </w:r>
      <w:r>
        <w:t xml:space="preserve"> </w:t>
      </w:r>
      <w:r>
        <w:t>основою розвитку</w:t>
      </w:r>
      <w:r>
        <w:t xml:space="preserve"> цифрової економіки, головною рушійною силою як</w:t>
      </w:r>
      <w:r>
        <w:t xml:space="preserve">ої має стати </w:t>
      </w:r>
      <w:r w:rsidRPr="00A166E8">
        <w:rPr>
          <w:b/>
        </w:rPr>
        <w:t>штучний інтелект (Ш</w:t>
      </w:r>
      <w:r w:rsidRPr="00A166E8">
        <w:rPr>
          <w:b/>
        </w:rPr>
        <w:t>І)</w:t>
      </w:r>
      <w:r>
        <w:t xml:space="preserve">. </w:t>
      </w:r>
    </w:p>
    <w:p w:rsidR="00C87355" w:rsidRDefault="00C87355" w:rsidP="00C87355">
      <w:pPr>
        <w:ind w:firstLine="851"/>
      </w:pPr>
      <w:r>
        <w:t xml:space="preserve">За </w:t>
      </w:r>
      <w:r>
        <w:t>майже півстоліття</w:t>
      </w:r>
      <w:r>
        <w:t xml:space="preserve"> змінилося чотири покоління мереж мобільного зв'язку. Якщо мережі першого покоління 1G </w:t>
      </w:r>
      <w:r>
        <w:t>вже не експлуатуються</w:t>
      </w:r>
      <w:r>
        <w:t xml:space="preserve">, то мережі 2G, 3G і 4G досі продовжують </w:t>
      </w:r>
      <w:r>
        <w:t>використовуватись, а частина</w:t>
      </w:r>
      <w:r>
        <w:t xml:space="preserve"> інфраструктури мереж 3G та 4G органічно увійде до складу мобільних мереж п'ятого покоління 5G.</w:t>
      </w:r>
    </w:p>
    <w:p w:rsidR="00C87355" w:rsidRDefault="00381771" w:rsidP="00C87355">
      <w:r>
        <w:tab/>
        <w:t>Дослідивши досвід запровадження ЄС, країн ЄС та Балтії, Ізраїлю, Північної Кореї та Австралії, можемо рекомендувати для України наступні кроки для розвитку безпечного 5</w:t>
      </w:r>
      <w:r>
        <w:rPr>
          <w:lang w:val="en-US"/>
        </w:rPr>
        <w:t>G</w:t>
      </w:r>
      <w:r>
        <w:t xml:space="preserve"> в Україні.</w:t>
      </w:r>
    </w:p>
    <w:p w:rsidR="00C923AA" w:rsidRPr="00A166E8" w:rsidRDefault="00A166E8" w:rsidP="004B4A0D">
      <w:pPr>
        <w:ind w:firstLine="851"/>
        <w:rPr>
          <w:b/>
          <w:color w:val="1F4E79" w:themeColor="accent1" w:themeShade="80"/>
        </w:rPr>
      </w:pPr>
      <w:r w:rsidRPr="00A166E8">
        <w:rPr>
          <w:b/>
          <w:color w:val="1F4E79" w:themeColor="accent1" w:themeShade="80"/>
        </w:rPr>
        <w:t>Організаційні заходи</w:t>
      </w:r>
    </w:p>
    <w:p w:rsidR="00C923AA" w:rsidRDefault="00C923AA" w:rsidP="00A166E8">
      <w:pPr>
        <w:pStyle w:val="a3"/>
        <w:numPr>
          <w:ilvl w:val="0"/>
          <w:numId w:val="1"/>
        </w:numPr>
        <w:ind w:left="0" w:firstLine="851"/>
      </w:pPr>
      <w:r>
        <w:t>Здійснити велике дослідження економічних розрахунків запровадження 5</w:t>
      </w:r>
      <w:r>
        <w:rPr>
          <w:lang w:val="en-US"/>
        </w:rPr>
        <w:t>G</w:t>
      </w:r>
      <w:r w:rsidRPr="00C923AA">
        <w:t xml:space="preserve"> з метою визначення економічного обґрунту</w:t>
      </w:r>
      <w:r>
        <w:t>вання розміру плати за ліцензії, розміру державної допомоги та</w:t>
      </w:r>
      <w:r w:rsidRPr="00C923AA">
        <w:t>/</w:t>
      </w:r>
      <w:r>
        <w:t xml:space="preserve">або </w:t>
      </w:r>
      <w:proofErr w:type="spellStart"/>
      <w:r>
        <w:t>співфінансування</w:t>
      </w:r>
      <w:proofErr w:type="spellEnd"/>
      <w:r>
        <w:t xml:space="preserve"> пілотних проектів із застосуванням </w:t>
      </w:r>
      <w:r>
        <w:t>5</w:t>
      </w:r>
      <w:r>
        <w:rPr>
          <w:lang w:val="en-US"/>
        </w:rPr>
        <w:t>G</w:t>
      </w:r>
      <w:r w:rsidR="00717A81">
        <w:rPr>
          <w:rStyle w:val="a6"/>
          <w:lang w:val="en-US"/>
        </w:rPr>
        <w:footnoteReference w:id="1"/>
      </w:r>
      <w:r>
        <w:t>.</w:t>
      </w:r>
    </w:p>
    <w:p w:rsidR="00C923AA" w:rsidRDefault="00C923AA" w:rsidP="00A166E8">
      <w:pPr>
        <w:pStyle w:val="a3"/>
        <w:numPr>
          <w:ilvl w:val="0"/>
          <w:numId w:val="1"/>
        </w:numPr>
        <w:ind w:left="0" w:firstLine="851"/>
      </w:pPr>
      <w:r>
        <w:lastRenderedPageBreak/>
        <w:t xml:space="preserve">Вирішити </w:t>
      </w:r>
      <w:r w:rsidR="00194F22">
        <w:t>п</w:t>
      </w:r>
      <w:r>
        <w:t xml:space="preserve">итання з доступом </w:t>
      </w:r>
      <w:r w:rsidR="00194F22">
        <w:t>до інфраструктури та критичної інфраструктури</w:t>
      </w:r>
    </w:p>
    <w:p w:rsidR="00381771" w:rsidRDefault="00381771" w:rsidP="00A166E8">
      <w:pPr>
        <w:pStyle w:val="a3"/>
        <w:numPr>
          <w:ilvl w:val="0"/>
          <w:numId w:val="1"/>
        </w:numPr>
        <w:ind w:left="0" w:firstLine="851"/>
      </w:pPr>
      <w:r>
        <w:t xml:space="preserve">Розробити дорожню карту розвитку </w:t>
      </w:r>
      <w:r>
        <w:t>безпечного 5</w:t>
      </w:r>
      <w:r>
        <w:rPr>
          <w:lang w:val="en-US"/>
        </w:rPr>
        <w:t>G</w:t>
      </w:r>
      <w:r>
        <w:t xml:space="preserve"> в Україні</w:t>
      </w:r>
      <w:r>
        <w:t xml:space="preserve"> як один із заходів імплементації Стратегії розвитку цифрової економіки України та </w:t>
      </w:r>
      <w:r>
        <w:t>досягти до 20</w:t>
      </w:r>
      <w:r>
        <w:t>3</w:t>
      </w:r>
      <w:r>
        <w:t>0 року наступних амбітних цілей:</w:t>
      </w:r>
    </w:p>
    <w:p w:rsidR="00381771" w:rsidRDefault="00381771" w:rsidP="004B4A0D">
      <w:pPr>
        <w:pStyle w:val="a3"/>
        <w:numPr>
          <w:ilvl w:val="0"/>
          <w:numId w:val="2"/>
        </w:numPr>
        <w:ind w:left="0" w:firstLine="851"/>
      </w:pPr>
      <w:r>
        <w:t xml:space="preserve">Організувати </w:t>
      </w:r>
      <w:r>
        <w:t xml:space="preserve">доступ до надшвидкісного </w:t>
      </w:r>
      <w:proofErr w:type="spellStart"/>
      <w:r>
        <w:t>гігабіт</w:t>
      </w:r>
      <w:proofErr w:type="spellEnd"/>
      <w:r>
        <w:t xml:space="preserve">-зв’язку (який дозволяє користувачам завантажувати 1 </w:t>
      </w:r>
      <w:proofErr w:type="spellStart"/>
      <w:r>
        <w:t>гігабіт</w:t>
      </w:r>
      <w:proofErr w:type="spellEnd"/>
      <w:r>
        <w:t xml:space="preserve"> даних в </w:t>
      </w:r>
      <w:proofErr w:type="spellStart"/>
      <w:r>
        <w:t>секунуду</w:t>
      </w:r>
      <w:proofErr w:type="spellEnd"/>
      <w:r>
        <w:t>)</w:t>
      </w:r>
      <w:r>
        <w:t xml:space="preserve"> для</w:t>
      </w:r>
      <w:r>
        <w:t xml:space="preserve"> соціально-економічн</w:t>
      </w:r>
      <w:r>
        <w:t>их установ, таких</w:t>
      </w:r>
      <w:r>
        <w:t xml:space="preserve"> як школи, університети, дослідницькі центри, перевізники, надавачі публічних послуг, адміністрації, підприємства, діяльність яких </w:t>
      </w:r>
      <w:r>
        <w:t>спирається на цифрові технології</w:t>
      </w:r>
      <w:r>
        <w:t>;</w:t>
      </w:r>
    </w:p>
    <w:p w:rsidR="00381771" w:rsidRDefault="00C923AA" w:rsidP="004B4A0D">
      <w:pPr>
        <w:pStyle w:val="a3"/>
        <w:numPr>
          <w:ilvl w:val="0"/>
          <w:numId w:val="2"/>
        </w:numPr>
        <w:ind w:left="0" w:firstLine="851"/>
      </w:pPr>
      <w:r>
        <w:t>Д</w:t>
      </w:r>
      <w:r w:rsidR="00381771">
        <w:t xml:space="preserve">оступ до з’єднання, яке дозволяє завантажувати не менше 100 </w:t>
      </w:r>
      <w:proofErr w:type="spellStart"/>
      <w:r w:rsidR="00381771">
        <w:t>мегабіт</w:t>
      </w:r>
      <w:proofErr w:type="spellEnd"/>
      <w:r w:rsidR="00381771">
        <w:t xml:space="preserve"> даних в секунду з можливістю </w:t>
      </w:r>
      <w:proofErr w:type="spellStart"/>
      <w:r w:rsidR="00381771">
        <w:t>апгрейду</w:t>
      </w:r>
      <w:proofErr w:type="spellEnd"/>
      <w:r w:rsidR="00381771">
        <w:t xml:space="preserve"> до 1 </w:t>
      </w:r>
      <w:proofErr w:type="spellStart"/>
      <w:r w:rsidR="00381771">
        <w:t>гігабіт</w:t>
      </w:r>
      <w:proofErr w:type="spellEnd"/>
      <w:r w:rsidR="00381771">
        <w:t xml:space="preserve"> в </w:t>
      </w:r>
      <w:proofErr w:type="spellStart"/>
      <w:r w:rsidR="00381771">
        <w:t>секунуду</w:t>
      </w:r>
      <w:proofErr w:type="spellEnd"/>
      <w:r w:rsidR="00381771">
        <w:t xml:space="preserve"> надати для усіх  домогосподарств</w:t>
      </w:r>
      <w:r w:rsidR="00381771">
        <w:t>;</w:t>
      </w:r>
    </w:p>
    <w:p w:rsidR="00381771" w:rsidRDefault="00C923AA" w:rsidP="004B4A0D">
      <w:pPr>
        <w:pStyle w:val="a3"/>
        <w:numPr>
          <w:ilvl w:val="0"/>
          <w:numId w:val="2"/>
        </w:numPr>
        <w:ind w:left="0" w:firstLine="851"/>
      </w:pPr>
      <w:r>
        <w:t xml:space="preserve">Забезпечити </w:t>
      </w:r>
      <w:r w:rsidR="00381771">
        <w:t>усі міста та основні автомобільні та залізничні шляхи безперервн</w:t>
      </w:r>
      <w:r>
        <w:t>им</w:t>
      </w:r>
      <w:r w:rsidR="00381771">
        <w:t xml:space="preserve"> 5G покриття</w:t>
      </w:r>
      <w:r>
        <w:t>м</w:t>
      </w:r>
      <w:r w:rsidR="00381771">
        <w:t xml:space="preserve">. </w:t>
      </w:r>
    </w:p>
    <w:p w:rsidR="00381771" w:rsidRDefault="00C923AA" w:rsidP="004B4A0D">
      <w:pPr>
        <w:pStyle w:val="a3"/>
        <w:numPr>
          <w:ilvl w:val="0"/>
          <w:numId w:val="2"/>
        </w:numPr>
        <w:ind w:left="0" w:firstLine="851"/>
      </w:pPr>
      <w:r>
        <w:t>З</w:t>
      </w:r>
      <w:r w:rsidR="00381771">
        <w:t xml:space="preserve">абезпечити </w:t>
      </w:r>
      <w:r w:rsidR="00381771" w:rsidRPr="00C923AA">
        <w:rPr>
          <w:b/>
        </w:rPr>
        <w:t>доступність стандартів для початкового розгортання мережі 5G та їх подальшу цілісну розробку</w:t>
      </w:r>
      <w:r w:rsidR="00381771">
        <w:t xml:space="preserve">, залучати країни до участі у міжнародних та </w:t>
      </w:r>
      <w:proofErr w:type="spellStart"/>
      <w:r w:rsidR="00381771">
        <w:t>міжіндустріальних</w:t>
      </w:r>
      <w:proofErr w:type="spellEnd"/>
      <w:r w:rsidR="00381771">
        <w:t xml:space="preserve"> </w:t>
      </w:r>
      <w:proofErr w:type="spellStart"/>
      <w:r w:rsidR="00381771">
        <w:t>партнерствах</w:t>
      </w:r>
      <w:proofErr w:type="spellEnd"/>
      <w:r w:rsidR="00381771">
        <w:t xml:space="preserve"> з метою тестування мережі 5G та створення умов для </w:t>
      </w:r>
      <w:proofErr w:type="spellStart"/>
      <w:r w:rsidR="00381771">
        <w:t>діджиталізації</w:t>
      </w:r>
      <w:proofErr w:type="spellEnd"/>
      <w:r w:rsidR="00381771">
        <w:t xml:space="preserve"> індустрії;</w:t>
      </w:r>
    </w:p>
    <w:p w:rsidR="00381771" w:rsidRDefault="00C923AA" w:rsidP="004B4A0D">
      <w:pPr>
        <w:pStyle w:val="a3"/>
        <w:numPr>
          <w:ilvl w:val="0"/>
          <w:numId w:val="2"/>
        </w:numPr>
        <w:ind w:left="0" w:firstLine="851"/>
      </w:pPr>
      <w:r>
        <w:t>П</w:t>
      </w:r>
      <w:r w:rsidR="00381771">
        <w:t>рискорити проведення ключових експериментів з використанням можливостей зв’язку технології 5G;</w:t>
      </w:r>
    </w:p>
    <w:p w:rsidR="00381771" w:rsidRDefault="00C923AA" w:rsidP="004B4A0D">
      <w:pPr>
        <w:pStyle w:val="a3"/>
        <w:numPr>
          <w:ilvl w:val="0"/>
          <w:numId w:val="2"/>
        </w:numPr>
        <w:ind w:left="0" w:firstLine="851"/>
      </w:pPr>
      <w:r>
        <w:t>Здійснити дослідження щодо</w:t>
      </w:r>
      <w:r w:rsidR="00381771">
        <w:t xml:space="preserve"> потенційн</w:t>
      </w:r>
      <w:r>
        <w:t>их</w:t>
      </w:r>
      <w:r w:rsidR="00381771">
        <w:t xml:space="preserve"> можливост</w:t>
      </w:r>
      <w:r>
        <w:t>ей</w:t>
      </w:r>
      <w:r w:rsidR="00381771">
        <w:t xml:space="preserve"> технології 5G у сфері </w:t>
      </w:r>
      <w:r>
        <w:t xml:space="preserve">електронних </w:t>
      </w:r>
      <w:r w:rsidR="00381771">
        <w:t>публічних послуг;</w:t>
      </w:r>
    </w:p>
    <w:p w:rsidR="00381771" w:rsidRDefault="00C923AA" w:rsidP="004B4A0D">
      <w:pPr>
        <w:pStyle w:val="a3"/>
        <w:numPr>
          <w:ilvl w:val="0"/>
          <w:numId w:val="2"/>
        </w:numPr>
        <w:ind w:left="0" w:firstLine="851"/>
      </w:pPr>
      <w:r>
        <w:t xml:space="preserve">Розробити стратегію розвитку </w:t>
      </w:r>
      <w:r w:rsidR="00381771">
        <w:t>публічно-приватного партнерства за рахунок як коштів приватного сектору, так і європейських фінансових організацій, з метою впровадження та тестування технології 5G.</w:t>
      </w:r>
    </w:p>
    <w:p w:rsidR="00381771" w:rsidRDefault="00381771" w:rsidP="004B4A0D">
      <w:pPr>
        <w:pStyle w:val="a3"/>
        <w:numPr>
          <w:ilvl w:val="0"/>
          <w:numId w:val="1"/>
        </w:numPr>
        <w:ind w:left="0" w:firstLine="851"/>
      </w:pPr>
      <w:r>
        <w:lastRenderedPageBreak/>
        <w:t>Розробити</w:t>
      </w:r>
      <w:r>
        <w:t xml:space="preserve"> </w:t>
      </w:r>
      <w:r w:rsidRPr="00A166E8">
        <w:rPr>
          <w:b/>
        </w:rPr>
        <w:t>графік розгортання</w:t>
      </w:r>
      <w:r>
        <w:t xml:space="preserve"> технології 5G в </w:t>
      </w:r>
      <w:r>
        <w:t>Україні, розпочавши з тестових майданчиків, наукових парків, промислових об’єктів у найближчій перспективі</w:t>
      </w:r>
      <w:r w:rsidR="00A166E8">
        <w:t>.</w:t>
      </w:r>
    </w:p>
    <w:p w:rsidR="00381771" w:rsidRDefault="00381771" w:rsidP="004B4A0D">
      <w:pPr>
        <w:pStyle w:val="a3"/>
        <w:numPr>
          <w:ilvl w:val="0"/>
          <w:numId w:val="1"/>
        </w:numPr>
        <w:ind w:left="0" w:firstLine="851"/>
      </w:pPr>
      <w:r>
        <w:t>Визначити</w:t>
      </w:r>
      <w:r>
        <w:t xml:space="preserve"> </w:t>
      </w:r>
      <w:r w:rsidR="00A166E8">
        <w:t xml:space="preserve">додатковий до вже виділеного </w:t>
      </w:r>
      <w:r>
        <w:t>спектр радіохвиль, необхідних</w:t>
      </w:r>
      <w:r w:rsidR="00A166E8">
        <w:t xml:space="preserve"> для впровадження технології 5G.</w:t>
      </w:r>
    </w:p>
    <w:p w:rsidR="00381771" w:rsidRDefault="00381771" w:rsidP="004B4A0D">
      <w:pPr>
        <w:pStyle w:val="a3"/>
        <w:numPr>
          <w:ilvl w:val="0"/>
          <w:numId w:val="1"/>
        </w:numPr>
        <w:ind w:left="0" w:firstLine="851"/>
      </w:pPr>
      <w:r>
        <w:t>В</w:t>
      </w:r>
      <w:r>
        <w:t>изнач</w:t>
      </w:r>
      <w:r>
        <w:t>ити</w:t>
      </w:r>
      <w:r>
        <w:t xml:space="preserve"> повн</w:t>
      </w:r>
      <w:r>
        <w:t>ий перелік</w:t>
      </w:r>
      <w:r>
        <w:t xml:space="preserve"> спектру радіохвиль, які можуть бути використані для впровадження технології 5G (як нижче так і вище 6 </w:t>
      </w:r>
      <w:proofErr w:type="spellStart"/>
      <w:r>
        <w:t>Ггц</w:t>
      </w:r>
      <w:proofErr w:type="spellEnd"/>
      <w:r>
        <w:t xml:space="preserve">) із закріпленням окремих вимог до користувачів хвиль вище 6 </w:t>
      </w:r>
      <w:proofErr w:type="spellStart"/>
      <w:r>
        <w:t>Ггц</w:t>
      </w:r>
      <w:proofErr w:type="spellEnd"/>
      <w:r w:rsidR="00A166E8">
        <w:t>.</w:t>
      </w:r>
    </w:p>
    <w:p w:rsidR="00194F22" w:rsidRDefault="00194F22" w:rsidP="004B4A0D">
      <w:pPr>
        <w:pStyle w:val="a3"/>
        <w:numPr>
          <w:ilvl w:val="0"/>
          <w:numId w:val="1"/>
        </w:numPr>
        <w:ind w:left="0" w:firstLine="851"/>
      </w:pPr>
      <w:r>
        <w:t>Створити орган з оцінки відповідності (лабораторія) та акредитувати його відповідно до обраної схеми сертифікації.</w:t>
      </w:r>
    </w:p>
    <w:p w:rsidR="00381771" w:rsidRPr="00A166E8" w:rsidRDefault="00C923AA" w:rsidP="00A166E8">
      <w:pPr>
        <w:ind w:firstLine="851"/>
        <w:rPr>
          <w:b/>
          <w:color w:val="1F4E79" w:themeColor="accent1" w:themeShade="80"/>
        </w:rPr>
      </w:pPr>
      <w:r w:rsidRPr="00A166E8">
        <w:rPr>
          <w:b/>
          <w:color w:val="1F4E79" w:themeColor="accent1" w:themeShade="80"/>
        </w:rPr>
        <w:t xml:space="preserve">Нормативно-правові </w:t>
      </w:r>
      <w:r w:rsidR="00194F22" w:rsidRPr="00A166E8">
        <w:rPr>
          <w:b/>
          <w:color w:val="1F4E79" w:themeColor="accent1" w:themeShade="80"/>
        </w:rPr>
        <w:t xml:space="preserve">та </w:t>
      </w:r>
      <w:r w:rsidRPr="00A166E8">
        <w:rPr>
          <w:b/>
          <w:color w:val="1F4E79" w:themeColor="accent1" w:themeShade="80"/>
        </w:rPr>
        <w:t>заходи</w:t>
      </w:r>
      <w:r w:rsidR="00194F22" w:rsidRPr="00A166E8">
        <w:rPr>
          <w:b/>
          <w:color w:val="1F4E79" w:themeColor="accent1" w:themeShade="80"/>
        </w:rPr>
        <w:t xml:space="preserve"> технічного регулювання</w:t>
      </w:r>
    </w:p>
    <w:p w:rsidR="00C923AA" w:rsidRPr="00194F22" w:rsidRDefault="00C923AA" w:rsidP="004B4A0D">
      <w:pPr>
        <w:pStyle w:val="a3"/>
        <w:numPr>
          <w:ilvl w:val="0"/>
          <w:numId w:val="3"/>
        </w:numPr>
        <w:ind w:left="0" w:firstLine="851"/>
        <w:rPr>
          <w:b/>
        </w:rPr>
      </w:pPr>
      <w:r w:rsidRPr="00194F22">
        <w:rPr>
          <w:b/>
        </w:rPr>
        <w:t xml:space="preserve">Розробити та закріпити у законодавчих актах: </w:t>
      </w:r>
    </w:p>
    <w:p w:rsidR="00C923AA" w:rsidRDefault="00C923AA" w:rsidP="004B4A0D">
      <w:pPr>
        <w:pStyle w:val="a3"/>
        <w:numPr>
          <w:ilvl w:val="0"/>
          <w:numId w:val="4"/>
        </w:numPr>
        <w:ind w:left="0" w:firstLine="851"/>
      </w:pPr>
      <w:r>
        <w:t>Врегулювання доступу до інфраструктури та критичної інфраструктури для побудови електронних комунікаційних мереж;</w:t>
      </w:r>
    </w:p>
    <w:p w:rsidR="00C923AA" w:rsidRDefault="00C923AA" w:rsidP="004B4A0D">
      <w:pPr>
        <w:pStyle w:val="a3"/>
        <w:numPr>
          <w:ilvl w:val="0"/>
          <w:numId w:val="4"/>
        </w:numPr>
        <w:ind w:left="0" w:firstLine="851"/>
      </w:pPr>
      <w:r>
        <w:t>вимоги до безпеки мереж та інформаційних систем;</w:t>
      </w:r>
    </w:p>
    <w:p w:rsidR="00C923AA" w:rsidRDefault="00C923AA" w:rsidP="004B4A0D">
      <w:pPr>
        <w:pStyle w:val="a3"/>
        <w:numPr>
          <w:ilvl w:val="0"/>
          <w:numId w:val="4"/>
        </w:numPr>
        <w:ind w:left="0" w:firstLine="851"/>
      </w:pPr>
      <w:r>
        <w:t>порядок сертифікації обладнання;</w:t>
      </w:r>
    </w:p>
    <w:p w:rsidR="00C923AA" w:rsidRDefault="00C923AA" w:rsidP="004B4A0D">
      <w:pPr>
        <w:pStyle w:val="a3"/>
        <w:numPr>
          <w:ilvl w:val="0"/>
          <w:numId w:val="4"/>
        </w:numPr>
        <w:ind w:left="0" w:firstLine="851"/>
      </w:pPr>
      <w:r>
        <w:t xml:space="preserve">аналіз ризиків безпеки, </w:t>
      </w:r>
    </w:p>
    <w:p w:rsidR="00C923AA" w:rsidRDefault="00C923AA" w:rsidP="004B4A0D">
      <w:pPr>
        <w:pStyle w:val="a3"/>
        <w:numPr>
          <w:ilvl w:val="0"/>
          <w:numId w:val="4"/>
        </w:numPr>
        <w:ind w:left="0" w:firstLine="851"/>
      </w:pPr>
      <w:r>
        <w:t>аудит ланцюга постачальників для операторів 5</w:t>
      </w:r>
      <w:r>
        <w:rPr>
          <w:lang w:val="en-US"/>
        </w:rPr>
        <w:t>G</w:t>
      </w:r>
      <w:r w:rsidR="00E00CFD">
        <w:t xml:space="preserve"> (</w:t>
      </w:r>
      <w:r w:rsidR="00E00CFD">
        <w:rPr>
          <w:rFonts w:cs="Times New Roman"/>
          <w:szCs w:val="28"/>
        </w:rPr>
        <w:t xml:space="preserve">виробників мережевого обладнання та передавальних пристроїв, постачальників хмарних послуг, розробників програмного забезпечення для роботи обладнання та пристроїв мережі, адміністратори, </w:t>
      </w:r>
      <w:proofErr w:type="spellStart"/>
      <w:r w:rsidR="00E00CFD">
        <w:rPr>
          <w:rFonts w:cs="Times New Roman"/>
          <w:szCs w:val="28"/>
        </w:rPr>
        <w:t>оркестратори</w:t>
      </w:r>
      <w:proofErr w:type="spellEnd"/>
      <w:r w:rsidR="00E00CFD">
        <w:rPr>
          <w:rFonts w:cs="Times New Roman"/>
          <w:szCs w:val="28"/>
        </w:rPr>
        <w:t xml:space="preserve">, системні інтегратори, спеціалісти з кібербезпеки, виробники пристроїв, які </w:t>
      </w:r>
      <w:proofErr w:type="spellStart"/>
      <w:r w:rsidR="00E00CFD">
        <w:rPr>
          <w:rFonts w:cs="Times New Roman"/>
          <w:szCs w:val="28"/>
        </w:rPr>
        <w:t>під</w:t>
      </w:r>
      <w:r w:rsidR="00E00CFD" w:rsidRPr="00B42544">
        <w:rPr>
          <w:rFonts w:cs="Times New Roman"/>
          <w:szCs w:val="28"/>
        </w:rPr>
        <w:t>’</w:t>
      </w:r>
      <w:r w:rsidR="00E00CFD">
        <w:rPr>
          <w:rFonts w:cs="Times New Roman"/>
          <w:szCs w:val="28"/>
        </w:rPr>
        <w:t>єднуються</w:t>
      </w:r>
      <w:proofErr w:type="spellEnd"/>
      <w:r w:rsidR="00E00CFD">
        <w:rPr>
          <w:rFonts w:cs="Times New Roman"/>
          <w:szCs w:val="28"/>
        </w:rPr>
        <w:t xml:space="preserve"> до мережі та розробники програмного забезпечення для роботи таких пристроїв</w:t>
      </w:r>
      <w:r w:rsidR="00E00CFD">
        <w:rPr>
          <w:rFonts w:cs="Times New Roman"/>
          <w:szCs w:val="28"/>
        </w:rPr>
        <w:t>)</w:t>
      </w:r>
      <w:r>
        <w:t>;</w:t>
      </w:r>
    </w:p>
    <w:p w:rsidR="00C923AA" w:rsidRDefault="00E00CFD" w:rsidP="004B4A0D">
      <w:pPr>
        <w:pStyle w:val="a3"/>
        <w:numPr>
          <w:ilvl w:val="0"/>
          <w:numId w:val="4"/>
        </w:numPr>
        <w:ind w:left="0" w:firstLine="851"/>
      </w:pPr>
      <w:r>
        <w:t>завершити ухвалення проекту закону про хмарні послуги;</w:t>
      </w:r>
    </w:p>
    <w:p w:rsidR="00E00CFD" w:rsidRDefault="00E00CFD" w:rsidP="004B4A0D">
      <w:pPr>
        <w:pStyle w:val="a3"/>
        <w:numPr>
          <w:ilvl w:val="0"/>
          <w:numId w:val="4"/>
        </w:numPr>
        <w:ind w:left="0" w:firstLine="851"/>
      </w:pPr>
      <w:r>
        <w:t>належні умови для конкуренції постачальників е</w:t>
      </w:r>
      <w:r w:rsidR="00194F22">
        <w:t>лектронних комунікаційних мереж;</w:t>
      </w:r>
    </w:p>
    <w:p w:rsidR="00194F22" w:rsidRDefault="00194F22" w:rsidP="004B4A0D">
      <w:pPr>
        <w:pStyle w:val="a3"/>
        <w:numPr>
          <w:ilvl w:val="0"/>
          <w:numId w:val="4"/>
        </w:numPr>
        <w:ind w:left="0" w:firstLine="851"/>
      </w:pPr>
      <w:r>
        <w:lastRenderedPageBreak/>
        <w:t>можливість застосування концесії та державно-приватного партнерства для побудови 5</w:t>
      </w:r>
      <w:r>
        <w:rPr>
          <w:lang w:val="en-US"/>
        </w:rPr>
        <w:t>G</w:t>
      </w:r>
      <w:r>
        <w:t>;</w:t>
      </w:r>
    </w:p>
    <w:p w:rsidR="00194F22" w:rsidRDefault="00194F22" w:rsidP="004B4A0D">
      <w:pPr>
        <w:pStyle w:val="a3"/>
        <w:numPr>
          <w:ilvl w:val="0"/>
          <w:numId w:val="4"/>
        </w:numPr>
        <w:ind w:left="0" w:firstLine="851"/>
      </w:pPr>
      <w:r>
        <w:t xml:space="preserve">перевірити повноваження регуляторного органу та надати йому додаткові повноваження, за необхідності і після </w:t>
      </w:r>
      <w:proofErr w:type="spellStart"/>
      <w:r>
        <w:t>шороких</w:t>
      </w:r>
      <w:proofErr w:type="spellEnd"/>
      <w:r>
        <w:t xml:space="preserve"> консультацій із усіма зацікавленими особами, для можливості встановлення вимог безпеки до </w:t>
      </w:r>
      <w:r>
        <w:t>електронних комунікаційних мереж</w:t>
      </w:r>
      <w:r>
        <w:t xml:space="preserve"> в ліцензійних умовах;</w:t>
      </w:r>
    </w:p>
    <w:p w:rsidR="00194F22" w:rsidRDefault="00194F22" w:rsidP="004B4A0D">
      <w:pPr>
        <w:pStyle w:val="a3"/>
        <w:numPr>
          <w:ilvl w:val="0"/>
          <w:numId w:val="4"/>
        </w:numPr>
        <w:ind w:left="0" w:firstLine="851"/>
      </w:pPr>
      <w:r>
        <w:t xml:space="preserve">надати повноваження органу, що буде здійснювати реалізацію політики у сфері кібербезпеки перевіряти виконання вимог із забезпечення кібербезпеки </w:t>
      </w:r>
      <w:r>
        <w:t>електронних комунікаційних мереж</w:t>
      </w:r>
      <w:r>
        <w:t xml:space="preserve"> та їх ланцюга постачальників.</w:t>
      </w:r>
    </w:p>
    <w:p w:rsidR="00E00CFD" w:rsidRPr="00194F22" w:rsidRDefault="00E00CFD" w:rsidP="00E00CFD">
      <w:pPr>
        <w:pStyle w:val="a3"/>
        <w:numPr>
          <w:ilvl w:val="0"/>
          <w:numId w:val="3"/>
        </w:numPr>
        <w:rPr>
          <w:b/>
        </w:rPr>
      </w:pPr>
      <w:r w:rsidRPr="00194F22">
        <w:rPr>
          <w:b/>
        </w:rPr>
        <w:t xml:space="preserve">Обрати схему сертифікації </w:t>
      </w:r>
    </w:p>
    <w:p w:rsidR="00194F22" w:rsidRDefault="00194F22" w:rsidP="004B4A0D">
      <w:pPr>
        <w:ind w:firstLine="851"/>
      </w:pPr>
      <w:r>
        <w:t>Стандартизація технологій та рішень 5G має завершитися до 2021 року, тому терміном 5G поки що позначаються лише фрагментарні рішення, які у майбутньому увійдуть до складу повномасштабного рішення IMT2020. Такі рішення вже розгортаються в різних країнах, проте вони поки що носять локальний і тестовий характер, і не надають весь запланований функціонал мереж стандарту IMT2020.</w:t>
      </w:r>
      <w:r w:rsidR="00AD0324">
        <w:t xml:space="preserve"> Якщо Україна обирає </w:t>
      </w:r>
      <w:proofErr w:type="spellStart"/>
      <w:r w:rsidR="00AD0324">
        <w:t>доєднання</w:t>
      </w:r>
      <w:proofErr w:type="spellEnd"/>
      <w:r w:rsidR="00AD0324">
        <w:t xml:space="preserve"> до Єдиного цифрового ринку ЄС, найбільш прийнятим є обрання однієї з європейських схем сертифікації, наприклад, членами якої є найбільші мобільні оператори України</w:t>
      </w:r>
      <w:r w:rsidR="00AD0324">
        <w:rPr>
          <w:rStyle w:val="a6"/>
        </w:rPr>
        <w:footnoteReference w:id="2"/>
      </w:r>
      <w:r w:rsidR="00AD0324">
        <w:t xml:space="preserve"> - </w:t>
      </w:r>
      <w:r w:rsidR="00AD0324">
        <w:rPr>
          <w:lang w:val="en-US"/>
        </w:rPr>
        <w:t>GSMA</w:t>
      </w:r>
      <w:r w:rsidR="00AD0324" w:rsidRPr="00AD0324">
        <w:t>.</w:t>
      </w:r>
    </w:p>
    <w:tbl>
      <w:tblPr>
        <w:tblStyle w:val="a7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104"/>
      </w:tblGrid>
      <w:tr w:rsidR="00D22236" w:rsidTr="00D22236">
        <w:tc>
          <w:tcPr>
            <w:tcW w:w="10104" w:type="dxa"/>
            <w:shd w:val="clear" w:color="auto" w:fill="BDD6EE" w:themeFill="accent1" w:themeFillTint="66"/>
          </w:tcPr>
          <w:p w:rsidR="00D22236" w:rsidRPr="00D22236" w:rsidRDefault="00D22236" w:rsidP="00D22236">
            <w:pPr>
              <w:ind w:firstLine="851"/>
              <w:rPr>
                <w:rFonts w:ascii="Arial" w:hAnsi="Arial" w:cs="Arial"/>
                <w:i/>
                <w:sz w:val="24"/>
                <w:szCs w:val="24"/>
              </w:rPr>
            </w:pPr>
            <w:r w:rsidRPr="00D22236">
              <w:rPr>
                <w:rFonts w:ascii="Arial" w:hAnsi="Arial" w:cs="Arial"/>
                <w:i/>
                <w:sz w:val="24"/>
                <w:szCs w:val="24"/>
              </w:rPr>
              <w:t>Основні організації, що стандартизують 5G</w:t>
            </w:r>
          </w:p>
          <w:p w:rsidR="00D22236" w:rsidRPr="00D22236" w:rsidRDefault="00D22236" w:rsidP="00D22236">
            <w:pPr>
              <w:ind w:firstLine="851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D22236">
              <w:rPr>
                <w:rFonts w:ascii="Arial" w:hAnsi="Arial" w:cs="Arial"/>
                <w:i/>
                <w:sz w:val="24"/>
                <w:szCs w:val="24"/>
                <w:lang w:val="en-US"/>
              </w:rPr>
              <w:t>GSMA</w:t>
            </w:r>
            <w:r w:rsidRPr="00D22236">
              <w:rPr>
                <w:rFonts w:ascii="Arial" w:hAnsi="Arial" w:cs="Arial"/>
                <w:i/>
                <w:sz w:val="24"/>
                <w:szCs w:val="24"/>
              </w:rPr>
              <w:t xml:space="preserve">  -</w:t>
            </w:r>
            <w:proofErr w:type="gramEnd"/>
            <w:r w:rsidRPr="00D22236">
              <w:rPr>
                <w:rFonts w:ascii="Arial" w:hAnsi="Arial" w:cs="Arial"/>
                <w:i/>
                <w:sz w:val="24"/>
                <w:szCs w:val="24"/>
              </w:rPr>
              <w:t xml:space="preserve"> 3GPP (3rd </w:t>
            </w:r>
            <w:proofErr w:type="spellStart"/>
            <w:r w:rsidRPr="00D22236">
              <w:rPr>
                <w:rFonts w:ascii="Arial" w:hAnsi="Arial" w:cs="Arial"/>
                <w:i/>
                <w:sz w:val="24"/>
                <w:szCs w:val="24"/>
              </w:rPr>
              <w:t>Generation</w:t>
            </w:r>
            <w:proofErr w:type="spellEnd"/>
            <w:r w:rsidRPr="00D2223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D22236">
              <w:rPr>
                <w:rFonts w:ascii="Arial" w:hAnsi="Arial" w:cs="Arial"/>
                <w:i/>
                <w:sz w:val="24"/>
                <w:szCs w:val="24"/>
              </w:rPr>
              <w:t>Partnership</w:t>
            </w:r>
            <w:proofErr w:type="spellEnd"/>
            <w:r w:rsidRPr="00D22236">
              <w:rPr>
                <w:rFonts w:ascii="Arial" w:hAnsi="Arial" w:cs="Arial"/>
                <w:i/>
                <w:sz w:val="24"/>
                <w:szCs w:val="24"/>
              </w:rPr>
              <w:t xml:space="preserve"> Project) - альянс із семи організацій, які розробляють різні стандарти електронних комунікацій, до яких, у свою чергу, входять інші партнери. Завдання 3GPP – формулювання технічних вимог, оцінка пропозицій та остаточне прийняття стандартів. У середині 2017 року було прийнято версію загального стандарту </w:t>
            </w:r>
            <w:proofErr w:type="spellStart"/>
            <w:r w:rsidRPr="00D22236">
              <w:rPr>
                <w:rFonts w:ascii="Arial" w:hAnsi="Arial" w:cs="Arial"/>
                <w:i/>
                <w:sz w:val="24"/>
                <w:szCs w:val="24"/>
              </w:rPr>
              <w:t>Release</w:t>
            </w:r>
            <w:proofErr w:type="spellEnd"/>
            <w:r w:rsidRPr="00D22236">
              <w:rPr>
                <w:rFonts w:ascii="Arial" w:hAnsi="Arial" w:cs="Arial"/>
                <w:i/>
                <w:sz w:val="24"/>
                <w:szCs w:val="24"/>
              </w:rPr>
              <w:t xml:space="preserve"> 15, в даний час розробляється </w:t>
            </w:r>
            <w:proofErr w:type="spellStart"/>
            <w:r w:rsidRPr="00D22236">
              <w:rPr>
                <w:rFonts w:ascii="Arial" w:hAnsi="Arial" w:cs="Arial"/>
                <w:i/>
                <w:sz w:val="24"/>
                <w:szCs w:val="24"/>
              </w:rPr>
              <w:t>Release</w:t>
            </w:r>
            <w:proofErr w:type="spellEnd"/>
            <w:r w:rsidRPr="00D22236">
              <w:rPr>
                <w:rFonts w:ascii="Arial" w:hAnsi="Arial" w:cs="Arial"/>
                <w:i/>
                <w:sz w:val="24"/>
                <w:szCs w:val="24"/>
              </w:rPr>
              <w:t xml:space="preserve"> 16, яка буде прийнята в 2019 р. Крім розробки загальної архітектури, 3GPP </w:t>
            </w:r>
            <w:r w:rsidRPr="00D22236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також розробляє стандарти </w:t>
            </w:r>
            <w:proofErr w:type="spellStart"/>
            <w:r w:rsidRPr="00D22236">
              <w:rPr>
                <w:rFonts w:ascii="Arial" w:hAnsi="Arial" w:cs="Arial"/>
                <w:i/>
                <w:sz w:val="24"/>
                <w:szCs w:val="24"/>
              </w:rPr>
              <w:t>радіотехнологій</w:t>
            </w:r>
            <w:proofErr w:type="spellEnd"/>
            <w:r w:rsidRPr="00D22236">
              <w:rPr>
                <w:rFonts w:ascii="Arial" w:hAnsi="Arial" w:cs="Arial"/>
                <w:i/>
                <w:sz w:val="24"/>
                <w:szCs w:val="24"/>
              </w:rPr>
              <w:t xml:space="preserve"> 5G </w:t>
            </w:r>
            <w:proofErr w:type="spellStart"/>
            <w:r w:rsidRPr="00D22236">
              <w:rPr>
                <w:rFonts w:ascii="Arial" w:hAnsi="Arial" w:cs="Arial"/>
                <w:i/>
                <w:sz w:val="24"/>
                <w:szCs w:val="24"/>
              </w:rPr>
              <w:t>New</w:t>
            </w:r>
            <w:proofErr w:type="spellEnd"/>
            <w:r w:rsidRPr="00D2223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D22236">
              <w:rPr>
                <w:rFonts w:ascii="Arial" w:hAnsi="Arial" w:cs="Arial"/>
                <w:i/>
                <w:sz w:val="24"/>
                <w:szCs w:val="24"/>
              </w:rPr>
              <w:t>Radio</w:t>
            </w:r>
            <w:proofErr w:type="spellEnd"/>
            <w:r w:rsidRPr="00D22236">
              <w:rPr>
                <w:rFonts w:ascii="Arial" w:hAnsi="Arial" w:cs="Arial"/>
                <w:i/>
                <w:sz w:val="24"/>
                <w:szCs w:val="24"/>
              </w:rPr>
              <w:t xml:space="preserve"> (NR) для нових частотних діапазонів, що виділяються під 5G.</w:t>
            </w:r>
          </w:p>
          <w:p w:rsidR="00D22236" w:rsidRPr="00D22236" w:rsidRDefault="00D22236" w:rsidP="00D22236">
            <w:pPr>
              <w:ind w:firstLine="851"/>
              <w:rPr>
                <w:rFonts w:ascii="Arial" w:hAnsi="Arial" w:cs="Arial"/>
                <w:i/>
                <w:sz w:val="24"/>
                <w:szCs w:val="24"/>
              </w:rPr>
            </w:pPr>
            <w:r w:rsidRPr="00D22236">
              <w:rPr>
                <w:rFonts w:ascii="Arial" w:hAnsi="Arial" w:cs="Arial"/>
                <w:i/>
                <w:sz w:val="24"/>
                <w:szCs w:val="24"/>
              </w:rPr>
              <w:t>ETSI (</w:t>
            </w:r>
            <w:proofErr w:type="spellStart"/>
            <w:r w:rsidRPr="00D22236">
              <w:rPr>
                <w:rFonts w:ascii="Arial" w:hAnsi="Arial" w:cs="Arial"/>
                <w:i/>
                <w:sz w:val="24"/>
                <w:szCs w:val="24"/>
              </w:rPr>
              <w:t>European</w:t>
            </w:r>
            <w:proofErr w:type="spellEnd"/>
            <w:r w:rsidRPr="00D2223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D22236">
              <w:rPr>
                <w:rFonts w:ascii="Arial" w:hAnsi="Arial" w:cs="Arial"/>
                <w:i/>
                <w:sz w:val="24"/>
                <w:szCs w:val="24"/>
              </w:rPr>
              <w:t>Telecommunication</w:t>
            </w:r>
            <w:proofErr w:type="spellEnd"/>
            <w:r w:rsidRPr="00D22236">
              <w:rPr>
                <w:rFonts w:ascii="Arial" w:hAnsi="Arial" w:cs="Arial"/>
                <w:i/>
                <w:sz w:val="24"/>
                <w:szCs w:val="24"/>
              </w:rPr>
              <w:t xml:space="preserve"> Standard </w:t>
            </w:r>
            <w:proofErr w:type="spellStart"/>
            <w:r w:rsidRPr="00D22236">
              <w:rPr>
                <w:rFonts w:ascii="Arial" w:hAnsi="Arial" w:cs="Arial"/>
                <w:i/>
                <w:sz w:val="24"/>
                <w:szCs w:val="24"/>
              </w:rPr>
              <w:t>Institute</w:t>
            </w:r>
            <w:proofErr w:type="spellEnd"/>
            <w:r w:rsidRPr="00D22236">
              <w:rPr>
                <w:rFonts w:ascii="Arial" w:hAnsi="Arial" w:cs="Arial"/>
                <w:i/>
                <w:sz w:val="24"/>
                <w:szCs w:val="24"/>
              </w:rPr>
              <w:t>), Європейський інститут телекомунікаційних стандартів, який є членом 3GPP, та найбільш активно працює у галузі розробки стандартів 5G.</w:t>
            </w:r>
          </w:p>
          <w:p w:rsidR="00D22236" w:rsidRPr="00D22236" w:rsidRDefault="00D22236" w:rsidP="00D22236">
            <w:pPr>
              <w:ind w:firstLine="851"/>
              <w:rPr>
                <w:rFonts w:ascii="Arial" w:hAnsi="Arial" w:cs="Arial"/>
                <w:i/>
                <w:sz w:val="24"/>
                <w:szCs w:val="24"/>
              </w:rPr>
            </w:pPr>
            <w:r w:rsidRPr="00D22236">
              <w:rPr>
                <w:rFonts w:ascii="Arial" w:hAnsi="Arial" w:cs="Arial"/>
                <w:i/>
                <w:sz w:val="24"/>
                <w:szCs w:val="24"/>
              </w:rPr>
              <w:t>IETF (</w:t>
            </w:r>
            <w:proofErr w:type="spellStart"/>
            <w:r w:rsidRPr="00D22236">
              <w:rPr>
                <w:rFonts w:ascii="Arial" w:hAnsi="Arial" w:cs="Arial"/>
                <w:i/>
                <w:sz w:val="24"/>
                <w:szCs w:val="24"/>
              </w:rPr>
              <w:t>Internet</w:t>
            </w:r>
            <w:proofErr w:type="spellEnd"/>
            <w:r w:rsidRPr="00D2223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D22236">
              <w:rPr>
                <w:rFonts w:ascii="Arial" w:hAnsi="Arial" w:cs="Arial"/>
                <w:i/>
                <w:sz w:val="24"/>
                <w:szCs w:val="24"/>
              </w:rPr>
              <w:t>Engineering</w:t>
            </w:r>
            <w:proofErr w:type="spellEnd"/>
            <w:r w:rsidRPr="00D2223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D22236">
              <w:rPr>
                <w:rFonts w:ascii="Arial" w:hAnsi="Arial" w:cs="Arial"/>
                <w:i/>
                <w:sz w:val="24"/>
                <w:szCs w:val="24"/>
              </w:rPr>
              <w:t>Task</w:t>
            </w:r>
            <w:proofErr w:type="spellEnd"/>
            <w:r w:rsidRPr="00D2223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D22236">
              <w:rPr>
                <w:rFonts w:ascii="Arial" w:hAnsi="Arial" w:cs="Arial"/>
                <w:i/>
                <w:sz w:val="24"/>
                <w:szCs w:val="24"/>
              </w:rPr>
              <w:t>Force</w:t>
            </w:r>
            <w:proofErr w:type="spellEnd"/>
            <w:r w:rsidRPr="00D22236">
              <w:rPr>
                <w:rFonts w:ascii="Arial" w:hAnsi="Arial" w:cs="Arial"/>
                <w:i/>
                <w:sz w:val="24"/>
                <w:szCs w:val="24"/>
              </w:rPr>
              <w:t>) розробляє рішення модернізації IP-протоколу підтримки віртуалізації мережевих функцій NFV (</w:t>
            </w:r>
            <w:proofErr w:type="spellStart"/>
            <w:r w:rsidRPr="00D22236">
              <w:rPr>
                <w:rFonts w:ascii="Arial" w:hAnsi="Arial" w:cs="Arial"/>
                <w:i/>
                <w:sz w:val="24"/>
                <w:szCs w:val="24"/>
              </w:rPr>
              <w:t>Network</w:t>
            </w:r>
            <w:proofErr w:type="spellEnd"/>
            <w:r w:rsidRPr="00D2223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D22236">
              <w:rPr>
                <w:rFonts w:ascii="Arial" w:hAnsi="Arial" w:cs="Arial"/>
                <w:i/>
                <w:sz w:val="24"/>
                <w:szCs w:val="24"/>
              </w:rPr>
              <w:t>Fucntion</w:t>
            </w:r>
            <w:proofErr w:type="spellEnd"/>
            <w:r w:rsidRPr="00D2223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D22236">
              <w:rPr>
                <w:rFonts w:ascii="Arial" w:hAnsi="Arial" w:cs="Arial"/>
                <w:i/>
                <w:sz w:val="24"/>
                <w:szCs w:val="24"/>
              </w:rPr>
              <w:t>Vitrualization</w:t>
            </w:r>
            <w:proofErr w:type="spellEnd"/>
            <w:r w:rsidRPr="00D22236">
              <w:rPr>
                <w:rFonts w:ascii="Arial" w:hAnsi="Arial" w:cs="Arial"/>
                <w:i/>
                <w:sz w:val="24"/>
                <w:szCs w:val="24"/>
              </w:rPr>
              <w:t>). Наприклад, IETF розробила технологію зчеплення функцій сервісів SFC (</w:t>
            </w:r>
            <w:proofErr w:type="spellStart"/>
            <w:r w:rsidRPr="00D22236">
              <w:rPr>
                <w:rFonts w:ascii="Arial" w:hAnsi="Arial" w:cs="Arial"/>
                <w:i/>
                <w:sz w:val="24"/>
                <w:szCs w:val="24"/>
              </w:rPr>
              <w:t>Service</w:t>
            </w:r>
            <w:proofErr w:type="spellEnd"/>
            <w:r w:rsidRPr="00D2223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D22236">
              <w:rPr>
                <w:rFonts w:ascii="Arial" w:hAnsi="Arial" w:cs="Arial"/>
                <w:i/>
                <w:sz w:val="24"/>
                <w:szCs w:val="24"/>
              </w:rPr>
              <w:t>Function</w:t>
            </w:r>
            <w:proofErr w:type="spellEnd"/>
            <w:r w:rsidRPr="00D2223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D22236">
              <w:rPr>
                <w:rFonts w:ascii="Arial" w:hAnsi="Arial" w:cs="Arial"/>
                <w:i/>
                <w:sz w:val="24"/>
                <w:szCs w:val="24"/>
              </w:rPr>
              <w:t>Chaining</w:t>
            </w:r>
            <w:proofErr w:type="spellEnd"/>
            <w:r w:rsidRPr="00D22236">
              <w:rPr>
                <w:rFonts w:ascii="Arial" w:hAnsi="Arial" w:cs="Arial"/>
                <w:i/>
                <w:sz w:val="24"/>
                <w:szCs w:val="24"/>
              </w:rPr>
              <w:t xml:space="preserve">), яка комбінує </w:t>
            </w:r>
            <w:proofErr w:type="spellStart"/>
            <w:r w:rsidRPr="00D22236">
              <w:rPr>
                <w:rFonts w:ascii="Arial" w:hAnsi="Arial" w:cs="Arial"/>
                <w:i/>
                <w:sz w:val="24"/>
                <w:szCs w:val="24"/>
              </w:rPr>
              <w:t>віртуалізовані</w:t>
            </w:r>
            <w:proofErr w:type="spellEnd"/>
            <w:r w:rsidRPr="00D22236">
              <w:rPr>
                <w:rFonts w:ascii="Arial" w:hAnsi="Arial" w:cs="Arial"/>
                <w:i/>
                <w:sz w:val="24"/>
                <w:szCs w:val="24"/>
              </w:rPr>
              <w:t xml:space="preserve"> компоненти архітектури 5G, наприклад базові станції, шлюзи послуг і пакетів даних в єдиному маршруті. Це дозволяє динамічне створення та зчеплення віртуальних мережевих функцій VNF (</w:t>
            </w:r>
            <w:proofErr w:type="spellStart"/>
            <w:r w:rsidRPr="00D22236">
              <w:rPr>
                <w:rFonts w:ascii="Arial" w:hAnsi="Arial" w:cs="Arial"/>
                <w:i/>
                <w:sz w:val="24"/>
                <w:szCs w:val="24"/>
              </w:rPr>
              <w:t>Virtual</w:t>
            </w:r>
            <w:proofErr w:type="spellEnd"/>
            <w:r w:rsidRPr="00D2223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D22236">
              <w:rPr>
                <w:rFonts w:ascii="Arial" w:hAnsi="Arial" w:cs="Arial"/>
                <w:i/>
                <w:sz w:val="24"/>
                <w:szCs w:val="24"/>
              </w:rPr>
              <w:t>Network</w:t>
            </w:r>
            <w:proofErr w:type="spellEnd"/>
            <w:r w:rsidRPr="00D2223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D22236">
              <w:rPr>
                <w:rFonts w:ascii="Arial" w:hAnsi="Arial" w:cs="Arial"/>
                <w:i/>
                <w:sz w:val="24"/>
                <w:szCs w:val="24"/>
              </w:rPr>
              <w:t>Functions</w:t>
            </w:r>
            <w:proofErr w:type="spellEnd"/>
            <w:r w:rsidRPr="00D22236">
              <w:rPr>
                <w:rFonts w:ascii="Arial" w:hAnsi="Arial" w:cs="Arial"/>
                <w:i/>
                <w:sz w:val="24"/>
                <w:szCs w:val="24"/>
              </w:rPr>
              <w:t>). IETF працює у тісній взаємодії з 3GPP.</w:t>
            </w:r>
          </w:p>
          <w:p w:rsidR="00D22236" w:rsidRPr="00D22236" w:rsidRDefault="00D22236" w:rsidP="00D22236">
            <w:pPr>
              <w:ind w:firstLine="851"/>
              <w:rPr>
                <w:rFonts w:ascii="Arial" w:hAnsi="Arial" w:cs="Arial"/>
                <w:i/>
                <w:sz w:val="24"/>
                <w:szCs w:val="24"/>
              </w:rPr>
            </w:pPr>
            <w:r w:rsidRPr="00D22236">
              <w:rPr>
                <w:rFonts w:ascii="Arial" w:hAnsi="Arial" w:cs="Arial"/>
                <w:i/>
                <w:sz w:val="24"/>
                <w:szCs w:val="24"/>
              </w:rPr>
              <w:t>ITU (</w:t>
            </w:r>
            <w:proofErr w:type="spellStart"/>
            <w:r w:rsidRPr="00D22236">
              <w:rPr>
                <w:rFonts w:ascii="Arial" w:hAnsi="Arial" w:cs="Arial"/>
                <w:i/>
                <w:sz w:val="24"/>
                <w:szCs w:val="24"/>
              </w:rPr>
              <w:t>International</w:t>
            </w:r>
            <w:proofErr w:type="spellEnd"/>
            <w:r w:rsidRPr="00D2223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D22236">
              <w:rPr>
                <w:rFonts w:ascii="Arial" w:hAnsi="Arial" w:cs="Arial"/>
                <w:i/>
                <w:sz w:val="24"/>
                <w:szCs w:val="24"/>
              </w:rPr>
              <w:t>Telecommunication</w:t>
            </w:r>
            <w:proofErr w:type="spellEnd"/>
            <w:r w:rsidRPr="00D2223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D22236">
              <w:rPr>
                <w:rFonts w:ascii="Arial" w:hAnsi="Arial" w:cs="Arial"/>
                <w:i/>
                <w:sz w:val="24"/>
                <w:szCs w:val="24"/>
              </w:rPr>
              <w:t>Union</w:t>
            </w:r>
            <w:proofErr w:type="spellEnd"/>
            <w:r w:rsidRPr="00D22236">
              <w:rPr>
                <w:rFonts w:ascii="Arial" w:hAnsi="Arial" w:cs="Arial"/>
                <w:i/>
                <w:sz w:val="24"/>
                <w:szCs w:val="24"/>
              </w:rPr>
              <w:t xml:space="preserve">) – агентство ООН, розташоване у Женеві, яке займається стандартизацією широкого спектру телекомунікаційних технологій. Зокрема, воно координує роботу щодо спільного використання спектра радіочастот, у </w:t>
            </w:r>
            <w:proofErr w:type="spellStart"/>
            <w:r w:rsidRPr="00D22236">
              <w:rPr>
                <w:rFonts w:ascii="Arial" w:hAnsi="Arial" w:cs="Arial"/>
                <w:i/>
                <w:sz w:val="24"/>
                <w:szCs w:val="24"/>
              </w:rPr>
              <w:t>т.ч</w:t>
            </w:r>
            <w:proofErr w:type="spellEnd"/>
            <w:r w:rsidRPr="00D22236">
              <w:rPr>
                <w:rFonts w:ascii="Arial" w:hAnsi="Arial" w:cs="Arial"/>
                <w:i/>
                <w:sz w:val="24"/>
                <w:szCs w:val="24"/>
              </w:rPr>
              <w:t>. для мереж 5G.</w:t>
            </w:r>
          </w:p>
          <w:p w:rsidR="00D22236" w:rsidRPr="00D22236" w:rsidRDefault="00D22236" w:rsidP="00D22236">
            <w:pPr>
              <w:ind w:firstLine="851"/>
              <w:rPr>
                <w:rFonts w:ascii="Arial" w:hAnsi="Arial" w:cs="Arial"/>
                <w:i/>
                <w:sz w:val="24"/>
                <w:szCs w:val="24"/>
              </w:rPr>
            </w:pPr>
            <w:r w:rsidRPr="00D22236">
              <w:rPr>
                <w:rFonts w:ascii="Arial" w:hAnsi="Arial" w:cs="Arial"/>
                <w:i/>
                <w:sz w:val="24"/>
                <w:szCs w:val="24"/>
              </w:rPr>
              <w:t>Крім цих трьох основних організацій, що координують, є ряд інших, в яких ведеться планомірна практична робота з розробки стандартів IMT2020 (5G).</w:t>
            </w:r>
          </w:p>
          <w:p w:rsidR="00D22236" w:rsidRPr="00D22236" w:rsidRDefault="00D22236" w:rsidP="00D22236">
            <w:pPr>
              <w:ind w:firstLine="851"/>
              <w:rPr>
                <w:rFonts w:ascii="Arial" w:hAnsi="Arial" w:cs="Arial"/>
                <w:i/>
                <w:sz w:val="24"/>
                <w:szCs w:val="24"/>
              </w:rPr>
            </w:pPr>
            <w:r w:rsidRPr="00D22236">
              <w:rPr>
                <w:rFonts w:ascii="Arial" w:hAnsi="Arial" w:cs="Arial"/>
                <w:i/>
                <w:sz w:val="24"/>
                <w:szCs w:val="24"/>
              </w:rPr>
              <w:t xml:space="preserve">5GPPP (5G </w:t>
            </w:r>
            <w:proofErr w:type="spellStart"/>
            <w:r w:rsidRPr="00D22236">
              <w:rPr>
                <w:rFonts w:ascii="Arial" w:hAnsi="Arial" w:cs="Arial"/>
                <w:i/>
                <w:sz w:val="24"/>
                <w:szCs w:val="24"/>
              </w:rPr>
              <w:t>Infrastructure</w:t>
            </w:r>
            <w:proofErr w:type="spellEnd"/>
            <w:r w:rsidRPr="00D2223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D22236">
              <w:rPr>
                <w:rFonts w:ascii="Arial" w:hAnsi="Arial" w:cs="Arial"/>
                <w:i/>
                <w:sz w:val="24"/>
                <w:szCs w:val="24"/>
              </w:rPr>
              <w:t>Public</w:t>
            </w:r>
            <w:proofErr w:type="spellEnd"/>
            <w:r w:rsidRPr="00D2223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D22236">
              <w:rPr>
                <w:rFonts w:ascii="Arial" w:hAnsi="Arial" w:cs="Arial"/>
                <w:i/>
                <w:sz w:val="24"/>
                <w:szCs w:val="24"/>
              </w:rPr>
              <w:t>Private</w:t>
            </w:r>
            <w:proofErr w:type="spellEnd"/>
            <w:r w:rsidRPr="00D2223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D22236">
              <w:rPr>
                <w:rFonts w:ascii="Arial" w:hAnsi="Arial" w:cs="Arial"/>
                <w:i/>
                <w:sz w:val="24"/>
                <w:szCs w:val="24"/>
              </w:rPr>
              <w:t>Partnership</w:t>
            </w:r>
            <w:proofErr w:type="spellEnd"/>
            <w:r w:rsidRPr="00D22236">
              <w:rPr>
                <w:rFonts w:ascii="Arial" w:hAnsi="Arial" w:cs="Arial"/>
                <w:i/>
                <w:sz w:val="24"/>
                <w:szCs w:val="24"/>
              </w:rPr>
              <w:t xml:space="preserve">), вважається одним із провідних </w:t>
            </w:r>
            <w:proofErr w:type="spellStart"/>
            <w:r w:rsidRPr="00D22236">
              <w:rPr>
                <w:rFonts w:ascii="Arial" w:hAnsi="Arial" w:cs="Arial"/>
                <w:i/>
                <w:sz w:val="24"/>
                <w:szCs w:val="24"/>
              </w:rPr>
              <w:t>партнерств</w:t>
            </w:r>
            <w:proofErr w:type="spellEnd"/>
            <w:r w:rsidRPr="00D22236">
              <w:rPr>
                <w:rFonts w:ascii="Arial" w:hAnsi="Arial" w:cs="Arial"/>
                <w:i/>
                <w:sz w:val="24"/>
                <w:szCs w:val="24"/>
              </w:rPr>
              <w:t xml:space="preserve"> зі стандартизації 5G. Організація ставить амбітні цілі з розробки вимог до мережі 5G, наприклад, захоплення ємності мережі в 1000 разів, зниження енергоспоживання користувацьких пристроїв на 90%, суттєве скорочення часу створення нових сервісів та послуг, повне та безпечне мережеве покриття та з незначною затримкою та ін.</w:t>
            </w:r>
          </w:p>
          <w:p w:rsidR="00D22236" w:rsidRPr="00D22236" w:rsidRDefault="00D22236" w:rsidP="00D22236">
            <w:pPr>
              <w:ind w:firstLine="851"/>
              <w:rPr>
                <w:rFonts w:ascii="Arial" w:hAnsi="Arial" w:cs="Arial"/>
                <w:i/>
                <w:sz w:val="24"/>
                <w:szCs w:val="24"/>
              </w:rPr>
            </w:pPr>
            <w:r w:rsidRPr="00D22236">
              <w:rPr>
                <w:rFonts w:ascii="Arial" w:hAnsi="Arial" w:cs="Arial"/>
                <w:i/>
                <w:sz w:val="24"/>
                <w:szCs w:val="24"/>
              </w:rPr>
              <w:t>NGMN (</w:t>
            </w:r>
            <w:proofErr w:type="spellStart"/>
            <w:r w:rsidRPr="00D22236">
              <w:rPr>
                <w:rFonts w:ascii="Arial" w:hAnsi="Arial" w:cs="Arial"/>
                <w:i/>
                <w:sz w:val="24"/>
                <w:szCs w:val="24"/>
              </w:rPr>
              <w:t>Next</w:t>
            </w:r>
            <w:proofErr w:type="spellEnd"/>
            <w:r w:rsidRPr="00D2223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D22236">
              <w:rPr>
                <w:rFonts w:ascii="Arial" w:hAnsi="Arial" w:cs="Arial"/>
                <w:i/>
                <w:sz w:val="24"/>
                <w:szCs w:val="24"/>
              </w:rPr>
              <w:t>Generation</w:t>
            </w:r>
            <w:proofErr w:type="spellEnd"/>
            <w:r w:rsidRPr="00D2223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D22236">
              <w:rPr>
                <w:rFonts w:ascii="Arial" w:hAnsi="Arial" w:cs="Arial"/>
                <w:i/>
                <w:sz w:val="24"/>
                <w:szCs w:val="24"/>
              </w:rPr>
              <w:t>Mobile</w:t>
            </w:r>
            <w:proofErr w:type="spellEnd"/>
            <w:r w:rsidRPr="00D2223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D22236">
              <w:rPr>
                <w:rFonts w:ascii="Arial" w:hAnsi="Arial" w:cs="Arial"/>
                <w:i/>
                <w:sz w:val="24"/>
                <w:szCs w:val="24"/>
              </w:rPr>
              <w:t>Networks</w:t>
            </w:r>
            <w:proofErr w:type="spellEnd"/>
            <w:r w:rsidRPr="00D22236">
              <w:rPr>
                <w:rFonts w:ascii="Arial" w:hAnsi="Arial" w:cs="Arial"/>
                <w:i/>
                <w:sz w:val="24"/>
                <w:szCs w:val="24"/>
              </w:rPr>
              <w:t xml:space="preserve">) </w:t>
            </w:r>
            <w:proofErr w:type="spellStart"/>
            <w:r w:rsidRPr="00D22236">
              <w:rPr>
                <w:rFonts w:ascii="Arial" w:hAnsi="Arial" w:cs="Arial"/>
                <w:i/>
                <w:sz w:val="24"/>
                <w:szCs w:val="24"/>
              </w:rPr>
              <w:t>Alliance</w:t>
            </w:r>
            <w:proofErr w:type="spellEnd"/>
            <w:r w:rsidRPr="00D22236">
              <w:rPr>
                <w:rFonts w:ascii="Arial" w:hAnsi="Arial" w:cs="Arial"/>
                <w:i/>
                <w:sz w:val="24"/>
                <w:szCs w:val="24"/>
              </w:rPr>
              <w:t xml:space="preserve">. Альянс мобільних мереж наступного покоління займається стандартизацією повного діапазону рішень 5G. До альянсу входить керівництво провідних американських операторів: AT&amp;T, U.S. </w:t>
            </w:r>
            <w:proofErr w:type="spellStart"/>
            <w:r w:rsidRPr="00D22236">
              <w:rPr>
                <w:rFonts w:ascii="Arial" w:hAnsi="Arial" w:cs="Arial"/>
                <w:i/>
                <w:sz w:val="24"/>
                <w:szCs w:val="24"/>
              </w:rPr>
              <w:t>Cellular</w:t>
            </w:r>
            <w:proofErr w:type="spellEnd"/>
            <w:r w:rsidRPr="00D22236">
              <w:rPr>
                <w:rFonts w:ascii="Arial" w:hAnsi="Arial" w:cs="Arial"/>
                <w:i/>
                <w:sz w:val="24"/>
                <w:szCs w:val="24"/>
              </w:rPr>
              <w:t xml:space="preserve"> та </w:t>
            </w:r>
            <w:proofErr w:type="spellStart"/>
            <w:r w:rsidRPr="00D22236">
              <w:rPr>
                <w:rFonts w:ascii="Arial" w:hAnsi="Arial" w:cs="Arial"/>
                <w:i/>
                <w:sz w:val="24"/>
                <w:szCs w:val="24"/>
              </w:rPr>
              <w:t>Verizon</w:t>
            </w:r>
            <w:proofErr w:type="spellEnd"/>
            <w:r w:rsidRPr="00D22236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D22236" w:rsidRDefault="00D22236" w:rsidP="00D22236">
            <w:pPr>
              <w:ind w:firstLine="851"/>
            </w:pPr>
            <w:r w:rsidRPr="00D22236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Крім зазначених, існують галузеві та регіональні організації, такі як 5G </w:t>
            </w:r>
            <w:proofErr w:type="spellStart"/>
            <w:r w:rsidRPr="00D22236">
              <w:rPr>
                <w:rFonts w:ascii="Arial" w:hAnsi="Arial" w:cs="Arial"/>
                <w:i/>
                <w:sz w:val="24"/>
                <w:szCs w:val="24"/>
              </w:rPr>
              <w:t>Americas</w:t>
            </w:r>
            <w:proofErr w:type="spellEnd"/>
            <w:r w:rsidRPr="00D22236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D22236">
              <w:rPr>
                <w:rFonts w:ascii="Arial" w:hAnsi="Arial" w:cs="Arial"/>
                <w:i/>
                <w:sz w:val="24"/>
                <w:szCs w:val="24"/>
              </w:rPr>
              <w:t>Small</w:t>
            </w:r>
            <w:proofErr w:type="spellEnd"/>
            <w:r w:rsidRPr="00D2223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D22236">
              <w:rPr>
                <w:rFonts w:ascii="Arial" w:hAnsi="Arial" w:cs="Arial"/>
                <w:i/>
                <w:sz w:val="24"/>
                <w:szCs w:val="24"/>
              </w:rPr>
              <w:t>Cell</w:t>
            </w:r>
            <w:proofErr w:type="spellEnd"/>
            <w:r w:rsidRPr="00D2223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D22236">
              <w:rPr>
                <w:rFonts w:ascii="Arial" w:hAnsi="Arial" w:cs="Arial"/>
                <w:i/>
                <w:sz w:val="24"/>
                <w:szCs w:val="24"/>
              </w:rPr>
              <w:t>Forum</w:t>
            </w:r>
            <w:proofErr w:type="spellEnd"/>
            <w:r w:rsidRPr="00D22236">
              <w:rPr>
                <w:rFonts w:ascii="Arial" w:hAnsi="Arial" w:cs="Arial"/>
                <w:i/>
                <w:sz w:val="24"/>
                <w:szCs w:val="24"/>
              </w:rPr>
              <w:t>, які також роблять великий внесок у розробку та стандартизацію рішень 5G.</w:t>
            </w:r>
          </w:p>
        </w:tc>
      </w:tr>
    </w:tbl>
    <w:p w:rsidR="00D22236" w:rsidRPr="00AD0324" w:rsidRDefault="00D22236" w:rsidP="004B4A0D">
      <w:pPr>
        <w:ind w:firstLine="851"/>
      </w:pPr>
    </w:p>
    <w:p w:rsidR="00791B2A" w:rsidRDefault="00791B2A" w:rsidP="00791B2A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У</w:t>
      </w:r>
      <w:r w:rsidRPr="00791B2A">
        <w:rPr>
          <w:b/>
        </w:rPr>
        <w:t>досконалення системи кібербезпеки України на основі міжнародних стандартів, практик та глобальної системи технічного регулювання</w:t>
      </w:r>
      <w:r>
        <w:rPr>
          <w:b/>
        </w:rPr>
        <w:t>:</w:t>
      </w:r>
    </w:p>
    <w:p w:rsidR="00791B2A" w:rsidRPr="00791B2A" w:rsidRDefault="00791B2A" w:rsidP="004B4A0D">
      <w:pPr>
        <w:pStyle w:val="a3"/>
        <w:numPr>
          <w:ilvl w:val="0"/>
          <w:numId w:val="6"/>
        </w:numPr>
        <w:ind w:left="0" w:firstLine="709"/>
      </w:pPr>
      <w:r w:rsidRPr="00791B2A">
        <w:t>Переглянути існуючі стандарти та базуючи</w:t>
      </w:r>
      <w:r w:rsidRPr="00791B2A">
        <w:t>сь</w:t>
      </w:r>
      <w:r w:rsidRPr="00791B2A">
        <w:t xml:space="preserve"> на </w:t>
      </w:r>
      <w:r w:rsidRPr="00791B2A">
        <w:t>міжнародних</w:t>
      </w:r>
      <w:r w:rsidRPr="00791B2A">
        <w:t>, у тому числі європейських базу даних стандартів для розвитку системи оціночних стандартів системи сертифікації кібербезпеки.</w:t>
      </w:r>
    </w:p>
    <w:p w:rsidR="00791B2A" w:rsidRPr="00791B2A" w:rsidRDefault="00791B2A" w:rsidP="004B4A0D">
      <w:pPr>
        <w:pStyle w:val="a3"/>
        <w:numPr>
          <w:ilvl w:val="0"/>
          <w:numId w:val="6"/>
        </w:numPr>
        <w:ind w:left="0" w:firstLine="709"/>
      </w:pPr>
      <w:r w:rsidRPr="00791B2A">
        <w:t>В</w:t>
      </w:r>
      <w:r w:rsidRPr="00791B2A">
        <w:t>ивчити стан та міжнародний статус Національного органу України з акредитації органів оцінки відповідності щодо транскордонного визнання сертифікації інформаційної та кібербезпеки.</w:t>
      </w:r>
    </w:p>
    <w:p w:rsidR="00791B2A" w:rsidRPr="00791B2A" w:rsidRDefault="00791B2A" w:rsidP="004B4A0D">
      <w:pPr>
        <w:pStyle w:val="a3"/>
        <w:numPr>
          <w:ilvl w:val="0"/>
          <w:numId w:val="6"/>
        </w:numPr>
        <w:ind w:left="0" w:firstLine="709"/>
      </w:pPr>
      <w:r w:rsidRPr="00791B2A">
        <w:t>З</w:t>
      </w:r>
      <w:r w:rsidRPr="00791B2A">
        <w:t>апровадити механізм Угод про взаємне визнання сертифікатів та аналізу міжнародного статусу органу України з акредитації.</w:t>
      </w:r>
    </w:p>
    <w:p w:rsidR="00791B2A" w:rsidRPr="00791B2A" w:rsidRDefault="00791B2A" w:rsidP="004B4A0D">
      <w:pPr>
        <w:pStyle w:val="a3"/>
        <w:numPr>
          <w:ilvl w:val="0"/>
          <w:numId w:val="6"/>
        </w:numPr>
        <w:ind w:left="0" w:firstLine="709"/>
      </w:pPr>
      <w:r w:rsidRPr="00791B2A">
        <w:t>В</w:t>
      </w:r>
      <w:r w:rsidRPr="00791B2A">
        <w:t>жити заходів щодо розроблення схем сертифікації кібербезпеки продукції ІКТ, хмарних сервісів та обладнання для мереж 5g.</w:t>
      </w:r>
    </w:p>
    <w:p w:rsidR="00791B2A" w:rsidRPr="00791B2A" w:rsidRDefault="00791B2A" w:rsidP="004B4A0D">
      <w:pPr>
        <w:pStyle w:val="a3"/>
        <w:numPr>
          <w:ilvl w:val="0"/>
          <w:numId w:val="6"/>
        </w:numPr>
        <w:ind w:left="0" w:firstLine="709"/>
      </w:pPr>
      <w:r w:rsidRPr="00791B2A">
        <w:t>В</w:t>
      </w:r>
      <w:r w:rsidRPr="00791B2A">
        <w:t xml:space="preserve">жити заходів щодо участі українських фахівців до діяльності </w:t>
      </w:r>
      <w:proofErr w:type="spellStart"/>
      <w:r w:rsidRPr="00791B2A">
        <w:t>Ad-Hoc</w:t>
      </w:r>
      <w:proofErr w:type="spellEnd"/>
      <w:r w:rsidRPr="00791B2A">
        <w:t xml:space="preserve"> </w:t>
      </w:r>
      <w:proofErr w:type="spellStart"/>
      <w:r w:rsidRPr="00791B2A">
        <w:t>Working</w:t>
      </w:r>
      <w:proofErr w:type="spellEnd"/>
      <w:r w:rsidRPr="00791B2A">
        <w:t xml:space="preserve"> </w:t>
      </w:r>
      <w:proofErr w:type="spellStart"/>
      <w:r w:rsidRPr="00791B2A">
        <w:t>Group</w:t>
      </w:r>
      <w:proofErr w:type="spellEnd"/>
      <w:r w:rsidRPr="00791B2A">
        <w:t xml:space="preserve"> 03 - </w:t>
      </w:r>
      <w:proofErr w:type="spellStart"/>
      <w:r w:rsidRPr="00791B2A">
        <w:t>on</w:t>
      </w:r>
      <w:proofErr w:type="spellEnd"/>
      <w:r w:rsidRPr="00791B2A">
        <w:t xml:space="preserve"> 5G </w:t>
      </w:r>
      <w:proofErr w:type="spellStart"/>
      <w:r w:rsidRPr="00791B2A">
        <w:t>Cybersecurity</w:t>
      </w:r>
      <w:proofErr w:type="spellEnd"/>
      <w:r w:rsidRPr="00791B2A">
        <w:t xml:space="preserve"> </w:t>
      </w:r>
      <w:proofErr w:type="spellStart"/>
      <w:r w:rsidRPr="00791B2A">
        <w:t>Certification</w:t>
      </w:r>
      <w:proofErr w:type="spellEnd"/>
      <w:r w:rsidRPr="00791B2A">
        <w:t>. запровадити постійний моніторинг розробок цієї робочої групи на базі національного регулятора та фахового суспільства в Україні.</w:t>
      </w:r>
    </w:p>
    <w:p w:rsidR="00C923AA" w:rsidRDefault="00194F22" w:rsidP="004B4A0D">
      <w:pPr>
        <w:pStyle w:val="a3"/>
        <w:numPr>
          <w:ilvl w:val="0"/>
          <w:numId w:val="6"/>
        </w:numPr>
        <w:ind w:left="0" w:firstLine="709"/>
      </w:pPr>
      <w:r w:rsidRPr="00791B2A">
        <w:t>Визначити вимоги відповідно до схеми сертифікації до органу з оцінки відповідності (лабораторії тестування безпеки).</w:t>
      </w:r>
    </w:p>
    <w:p w:rsidR="00791B2A" w:rsidRPr="00A166E8" w:rsidRDefault="00791B2A" w:rsidP="00A166E8">
      <w:pPr>
        <w:ind w:firstLine="851"/>
        <w:rPr>
          <w:b/>
          <w:color w:val="1F4E79" w:themeColor="accent1" w:themeShade="80"/>
        </w:rPr>
      </w:pPr>
      <w:r w:rsidRPr="00A166E8">
        <w:rPr>
          <w:b/>
          <w:color w:val="1F4E79" w:themeColor="accent1" w:themeShade="80"/>
        </w:rPr>
        <w:t>Перегляд повноважень регулят</w:t>
      </w:r>
      <w:r w:rsidR="00A166E8">
        <w:rPr>
          <w:b/>
          <w:color w:val="1F4E79" w:themeColor="accent1" w:themeShade="80"/>
        </w:rPr>
        <w:t>орних органів</w:t>
      </w:r>
    </w:p>
    <w:p w:rsidR="00717A81" w:rsidRPr="00A166E8" w:rsidRDefault="00717A81" w:rsidP="00A166E8">
      <w:pPr>
        <w:pStyle w:val="a3"/>
        <w:numPr>
          <w:ilvl w:val="0"/>
          <w:numId w:val="6"/>
        </w:numPr>
        <w:ind w:left="0" w:firstLine="709"/>
      </w:pPr>
      <w:r w:rsidRPr="00A166E8">
        <w:t xml:space="preserve">надання регуляторним органам права регулювати вимоги до постачальників обладнання мережі 5G та постачальників послуг для її </w:t>
      </w:r>
      <w:r w:rsidRPr="00A166E8">
        <w:lastRenderedPageBreak/>
        <w:t>обслуговування, з правом забороняти встановлення обладнання та/або програмного забезпечення для мережі 5G або навіть вимагати його демонтажу;</w:t>
      </w:r>
    </w:p>
    <w:p w:rsidR="00717A81" w:rsidRPr="00A166E8" w:rsidRDefault="00717A81" w:rsidP="00A166E8">
      <w:pPr>
        <w:pStyle w:val="a3"/>
        <w:numPr>
          <w:ilvl w:val="0"/>
          <w:numId w:val="6"/>
        </w:numPr>
        <w:ind w:left="0" w:firstLine="709"/>
      </w:pPr>
      <w:r w:rsidRPr="00A166E8">
        <w:t>використання регуляторними органами повноважень з ретроспективним ефектом, оскільки для розгортання мережі 5G може використовуватись вже наявне обладнання та послуги;</w:t>
      </w:r>
    </w:p>
    <w:p w:rsidR="00717A81" w:rsidRPr="00A166E8" w:rsidRDefault="00717A81" w:rsidP="00A166E8">
      <w:pPr>
        <w:pStyle w:val="a3"/>
        <w:numPr>
          <w:ilvl w:val="0"/>
          <w:numId w:val="6"/>
        </w:numPr>
        <w:ind w:left="0" w:firstLine="709"/>
      </w:pPr>
      <w:r w:rsidRPr="00A166E8">
        <w:t>відмінність обсягу повноважень регулятора у розрізі різних суб’єктів (залежно від ризик-профілю) та об’єктів 5G мережі (залежно від вразливості об’єкта або сфери його використання);</w:t>
      </w:r>
    </w:p>
    <w:p w:rsidR="00717A81" w:rsidRPr="00A166E8" w:rsidRDefault="00717A81" w:rsidP="00A166E8">
      <w:pPr>
        <w:pStyle w:val="a3"/>
        <w:numPr>
          <w:ilvl w:val="0"/>
          <w:numId w:val="6"/>
        </w:numPr>
        <w:ind w:left="0" w:firstLine="709"/>
      </w:pPr>
      <w:bookmarkStart w:id="1" w:name="_Hlk87622166"/>
      <w:r w:rsidRPr="00A166E8">
        <w:t xml:space="preserve">необхідність розроблення </w:t>
      </w:r>
      <w:bookmarkEnd w:id="1"/>
      <w:r w:rsidRPr="00A166E8">
        <w:t xml:space="preserve">національної методології аудиту та </w:t>
      </w:r>
      <w:proofErr w:type="spellStart"/>
      <w:r w:rsidRPr="00A166E8">
        <w:t>комплаєнсу</w:t>
      </w:r>
      <w:proofErr w:type="spellEnd"/>
      <w:r w:rsidRPr="00A166E8">
        <w:t xml:space="preserve"> безпеки 5G мережі;</w:t>
      </w:r>
    </w:p>
    <w:p w:rsidR="00717A81" w:rsidRPr="00A166E8" w:rsidRDefault="00717A81" w:rsidP="00A166E8">
      <w:pPr>
        <w:pStyle w:val="a3"/>
        <w:numPr>
          <w:ilvl w:val="0"/>
          <w:numId w:val="6"/>
        </w:numPr>
        <w:ind w:left="0" w:firstLine="709"/>
      </w:pPr>
      <w:r w:rsidRPr="00A166E8">
        <w:t>необхідність розроблення методології оцінки ризик-профілю постачальників обладнання або програмного забезпечення для 5G мережі, встановлення для операторів мереж перехідного періоду у разі виявлення фактичної залежності від постачальника з високим ризик-профілем;</w:t>
      </w:r>
    </w:p>
    <w:p w:rsidR="00717A81" w:rsidRPr="00A166E8" w:rsidRDefault="00717A81" w:rsidP="00A166E8">
      <w:pPr>
        <w:pStyle w:val="a3"/>
        <w:numPr>
          <w:ilvl w:val="0"/>
          <w:numId w:val="6"/>
        </w:numPr>
        <w:ind w:left="0" w:firstLine="709"/>
      </w:pPr>
      <w:r w:rsidRPr="00A166E8">
        <w:t>визначення переліків вразливого обладнання та послуг для 5G мережі, які вимагають спеціального регулювання;</w:t>
      </w:r>
    </w:p>
    <w:p w:rsidR="00717A81" w:rsidRPr="00A166E8" w:rsidRDefault="00717A81" w:rsidP="00A166E8">
      <w:pPr>
        <w:pStyle w:val="a3"/>
        <w:numPr>
          <w:ilvl w:val="0"/>
          <w:numId w:val="6"/>
        </w:numPr>
        <w:ind w:left="0" w:firstLine="709"/>
      </w:pPr>
      <w:r w:rsidRPr="00A166E8">
        <w:t xml:space="preserve">визначення об’єктів критичної інфраструктури, які потребують спеціальних заходів безпеки у разі використання  5G технологій;  </w:t>
      </w:r>
    </w:p>
    <w:p w:rsidR="00717A81" w:rsidRPr="00A166E8" w:rsidRDefault="00717A81" w:rsidP="00A166E8">
      <w:pPr>
        <w:pStyle w:val="a3"/>
        <w:numPr>
          <w:ilvl w:val="0"/>
          <w:numId w:val="6"/>
        </w:numPr>
        <w:ind w:left="0" w:firstLine="709"/>
      </w:pPr>
      <w:r w:rsidRPr="00A166E8">
        <w:t>посилення вимог до прозорості відносин між операторами та постачальниками обладнання та послуг для 5G мережі;</w:t>
      </w:r>
    </w:p>
    <w:p w:rsidR="00717A81" w:rsidRPr="00A166E8" w:rsidRDefault="00717A81" w:rsidP="00A166E8">
      <w:pPr>
        <w:pStyle w:val="a3"/>
        <w:numPr>
          <w:ilvl w:val="0"/>
          <w:numId w:val="6"/>
        </w:numPr>
        <w:ind w:left="0" w:firstLine="709"/>
      </w:pPr>
      <w:r w:rsidRPr="00A166E8">
        <w:t>визначення послуг для обслуговування 5G мережі, які оператори мають</w:t>
      </w:r>
      <w:r w:rsidR="00791B2A" w:rsidRPr="00A166E8">
        <w:t xml:space="preserve"> право передавати на </w:t>
      </w:r>
      <w:proofErr w:type="spellStart"/>
      <w:r w:rsidR="00791B2A" w:rsidRPr="00A166E8">
        <w:t>аутсорсинг</w:t>
      </w:r>
      <w:proofErr w:type="spellEnd"/>
      <w:r w:rsidR="00791B2A" w:rsidRPr="00A166E8">
        <w:t>.</w:t>
      </w:r>
    </w:p>
    <w:p w:rsidR="00791B2A" w:rsidRPr="00791B2A" w:rsidRDefault="00791B2A" w:rsidP="00791B2A">
      <w:pPr>
        <w:spacing w:after="120" w:line="259" w:lineRule="auto"/>
        <w:rPr>
          <w:rFonts w:cs="Times New Roman"/>
          <w:szCs w:val="28"/>
        </w:rPr>
      </w:pPr>
    </w:p>
    <w:sectPr w:rsidR="00791B2A" w:rsidRPr="00791B2A" w:rsidSect="004B4A0D">
      <w:pgSz w:w="12240" w:h="15840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430" w:rsidRDefault="00DA7430" w:rsidP="00AD0324">
      <w:pPr>
        <w:spacing w:after="0" w:line="240" w:lineRule="auto"/>
      </w:pPr>
      <w:r>
        <w:separator/>
      </w:r>
    </w:p>
  </w:endnote>
  <w:endnote w:type="continuationSeparator" w:id="0">
    <w:p w:rsidR="00DA7430" w:rsidRDefault="00DA7430" w:rsidP="00AD0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430" w:rsidRDefault="00DA7430" w:rsidP="00AD0324">
      <w:pPr>
        <w:spacing w:after="0" w:line="240" w:lineRule="auto"/>
      </w:pPr>
      <w:r>
        <w:separator/>
      </w:r>
    </w:p>
  </w:footnote>
  <w:footnote w:type="continuationSeparator" w:id="0">
    <w:p w:rsidR="00DA7430" w:rsidRDefault="00DA7430" w:rsidP="00AD0324">
      <w:pPr>
        <w:spacing w:after="0" w:line="240" w:lineRule="auto"/>
      </w:pPr>
      <w:r>
        <w:continuationSeparator/>
      </w:r>
    </w:p>
  </w:footnote>
  <w:footnote w:id="1">
    <w:p w:rsidR="00717A81" w:rsidRPr="00717A81" w:rsidRDefault="00717A81">
      <w:pPr>
        <w:pStyle w:val="a4"/>
        <w:rPr>
          <w:lang w:val="en-US"/>
        </w:rPr>
      </w:pPr>
      <w:r>
        <w:rPr>
          <w:rStyle w:val="a6"/>
        </w:rPr>
        <w:footnoteRef/>
      </w:r>
      <w:r>
        <w:t xml:space="preserve"> </w:t>
      </w:r>
      <w:r w:rsidRPr="00717A81">
        <w:t>https://www.gsma.com/spectrum/resources/effective-spectrum-pricing/</w:t>
      </w:r>
    </w:p>
  </w:footnote>
  <w:footnote w:id="2">
    <w:p w:rsidR="00AD0324" w:rsidRDefault="00AD0324">
      <w:pPr>
        <w:pStyle w:val="a4"/>
      </w:pPr>
      <w:r>
        <w:rPr>
          <w:rStyle w:val="a6"/>
        </w:rPr>
        <w:footnoteRef/>
      </w:r>
      <w:r>
        <w:t xml:space="preserve"> </w:t>
      </w:r>
      <w:r w:rsidRPr="00AD0324">
        <w:t>https://www.gsma.com/membership/membership-types/operator-membership/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006B"/>
    <w:multiLevelType w:val="hybridMultilevel"/>
    <w:tmpl w:val="5390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B5BE6"/>
    <w:multiLevelType w:val="hybridMultilevel"/>
    <w:tmpl w:val="7BB0AD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19607F6"/>
    <w:multiLevelType w:val="hybridMultilevel"/>
    <w:tmpl w:val="EF400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E0F31"/>
    <w:multiLevelType w:val="hybridMultilevel"/>
    <w:tmpl w:val="E77891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2A47C2"/>
    <w:multiLevelType w:val="hybridMultilevel"/>
    <w:tmpl w:val="2388771E"/>
    <w:lvl w:ilvl="0" w:tplc="1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A26EC"/>
    <w:multiLevelType w:val="hybridMultilevel"/>
    <w:tmpl w:val="36EE981E"/>
    <w:lvl w:ilvl="0" w:tplc="E7343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B7445D"/>
    <w:multiLevelType w:val="hybridMultilevel"/>
    <w:tmpl w:val="B778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55"/>
    <w:rsid w:val="00194F22"/>
    <w:rsid w:val="002F4EB1"/>
    <w:rsid w:val="00340739"/>
    <w:rsid w:val="00381771"/>
    <w:rsid w:val="0047126C"/>
    <w:rsid w:val="004B4A0D"/>
    <w:rsid w:val="005E3042"/>
    <w:rsid w:val="006E4147"/>
    <w:rsid w:val="00717A81"/>
    <w:rsid w:val="00791B2A"/>
    <w:rsid w:val="00830EF2"/>
    <w:rsid w:val="00865682"/>
    <w:rsid w:val="0097228B"/>
    <w:rsid w:val="00987D7A"/>
    <w:rsid w:val="00A166E8"/>
    <w:rsid w:val="00A74AA9"/>
    <w:rsid w:val="00AD0324"/>
    <w:rsid w:val="00C87355"/>
    <w:rsid w:val="00C923AA"/>
    <w:rsid w:val="00D22236"/>
    <w:rsid w:val="00DA7430"/>
    <w:rsid w:val="00E00CFD"/>
    <w:rsid w:val="00FB2E7B"/>
    <w:rsid w:val="00FB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0013"/>
  <w15:chartTrackingRefBased/>
  <w15:docId w15:val="{F1F87F88-EEFC-4DE1-9F0F-EAE59263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39"/>
    <w:pPr>
      <w:spacing w:after="200" w:line="360" w:lineRule="auto"/>
      <w:jc w:val="both"/>
    </w:pPr>
    <w:rPr>
      <w:rFonts w:ascii="Times New Roman" w:hAnsi="Times New Roman"/>
      <w:sz w:val="2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987D7A"/>
    <w:pPr>
      <w:keepNext/>
      <w:keepLines/>
      <w:spacing w:before="40" w:after="0" w:line="240" w:lineRule="auto"/>
      <w:outlineLvl w:val="1"/>
    </w:pPr>
    <w:rPr>
      <w:rFonts w:eastAsiaTheme="majorEastAsia" w:cstheme="majorBidi"/>
      <w:sz w:val="32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7D7A"/>
    <w:rPr>
      <w:rFonts w:ascii="Times New Roman" w:eastAsiaTheme="majorEastAsia" w:hAnsi="Times New Roman" w:cstheme="majorBidi"/>
      <w:sz w:val="32"/>
      <w:szCs w:val="26"/>
    </w:rPr>
  </w:style>
  <w:style w:type="paragraph" w:styleId="a3">
    <w:name w:val="List Paragraph"/>
    <w:basedOn w:val="a"/>
    <w:uiPriority w:val="34"/>
    <w:qFormat/>
    <w:rsid w:val="0038177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D032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0324"/>
    <w:rPr>
      <w:rFonts w:ascii="Times New Roman" w:hAnsi="Times New Roman"/>
      <w:sz w:val="20"/>
      <w:szCs w:val="20"/>
      <w:lang w:val="uk-UA"/>
    </w:rPr>
  </w:style>
  <w:style w:type="character" w:styleId="a6">
    <w:name w:val="footnote reference"/>
    <w:basedOn w:val="a0"/>
    <w:uiPriority w:val="99"/>
    <w:semiHidden/>
    <w:unhideWhenUsed/>
    <w:rsid w:val="00AD0324"/>
    <w:rPr>
      <w:vertAlign w:val="superscript"/>
    </w:rPr>
  </w:style>
  <w:style w:type="table" w:styleId="a7">
    <w:name w:val="Table Grid"/>
    <w:basedOn w:val="a1"/>
    <w:uiPriority w:val="39"/>
    <w:rsid w:val="00D22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9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8DFEF-4BCA-457E-9C16-2A821C20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7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2021-12-15T19:05:00Z</dcterms:created>
  <dcterms:modified xsi:type="dcterms:W3CDTF">2021-12-17T09:07:00Z</dcterms:modified>
</cp:coreProperties>
</file>